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3EADC" w14:textId="5DCBA1F6" w:rsidR="0049072A" w:rsidRDefault="00D43F63" w:rsidP="001E0908">
      <w:r>
        <w:t xml:space="preserve">Dear </w:t>
      </w:r>
      <w:r w:rsidR="00485575">
        <w:t>Madam/Sir,</w:t>
      </w:r>
      <w:r w:rsidR="001E0908">
        <w:tab/>
      </w:r>
      <w:r w:rsidR="001E0908">
        <w:tab/>
      </w:r>
      <w:r w:rsidR="001E0908">
        <w:tab/>
      </w:r>
      <w:r w:rsidR="001E0908">
        <w:tab/>
      </w:r>
      <w:r w:rsidR="001E0908">
        <w:tab/>
      </w:r>
      <w:r w:rsidR="001E0908">
        <w:tab/>
      </w:r>
      <w:r w:rsidR="001E0908">
        <w:tab/>
      </w:r>
      <w:r w:rsidR="001E0908">
        <w:tab/>
      </w:r>
      <w:r w:rsidR="001E0908">
        <w:tab/>
        <w:t>23.</w:t>
      </w:r>
      <w:r w:rsidR="00384333">
        <w:t>05.2025.</w:t>
      </w:r>
    </w:p>
    <w:p w14:paraId="2BC8D4BD" w14:textId="55DF3ABD" w:rsidR="00D43F63" w:rsidRPr="00DA40F1" w:rsidRDefault="000B53FD">
      <w:pPr>
        <w:rPr>
          <w:b/>
          <w:bCs/>
          <w:u w:val="single"/>
        </w:rPr>
      </w:pPr>
      <w:r>
        <w:t>Please be informed of the urgent need for parliamentary questions</w:t>
      </w:r>
      <w:r w:rsidR="00D43F63">
        <w:t xml:space="preserve"> on the new public body Great British Railways (GBR)</w:t>
      </w:r>
      <w:r w:rsidR="005F06CC">
        <w:t xml:space="preserve"> and its value to the taxpayer</w:t>
      </w:r>
      <w:r w:rsidR="00956144">
        <w:t>.</w:t>
      </w:r>
      <w:r w:rsidR="00D43F63">
        <w:t xml:space="preserve"> </w:t>
      </w:r>
      <w:r w:rsidR="00AE503C">
        <w:t>GBR</w:t>
      </w:r>
      <w:r w:rsidR="00D43F63">
        <w:t xml:space="preserve"> will be established by the upcoming Railways Bill, for which a public consultation has just taken place</w:t>
      </w:r>
      <w:r w:rsidR="009B19A8">
        <w:t xml:space="preserve"> and </w:t>
      </w:r>
      <w:r w:rsidR="00656347">
        <w:t>d</w:t>
      </w:r>
      <w:r w:rsidR="00202979">
        <w:t xml:space="preserve">raft </w:t>
      </w:r>
      <w:r w:rsidR="00DA40F1">
        <w:t xml:space="preserve">legislation is expected </w:t>
      </w:r>
      <w:r w:rsidR="00DA40F1" w:rsidRPr="00256EF2">
        <w:t>as soon as next month</w:t>
      </w:r>
      <w:r w:rsidR="00D43F63" w:rsidRPr="00256EF2">
        <w:t>.</w:t>
      </w:r>
      <w:r w:rsidR="009B19A8" w:rsidRPr="009B19A8">
        <w:rPr>
          <w:rStyle w:val="FootnoteReference"/>
        </w:rPr>
        <w:t xml:space="preserve"> </w:t>
      </w:r>
      <w:r w:rsidR="009B19A8">
        <w:rPr>
          <w:rStyle w:val="FootnoteReference"/>
        </w:rPr>
        <w:footnoteReference w:id="1"/>
      </w:r>
    </w:p>
    <w:p w14:paraId="5109D0B5" w14:textId="1F4F982C" w:rsidR="00D43F63" w:rsidRDefault="00D43F63">
      <w:r>
        <w:t>GBR will set the financial framework for over £12 billion per year of taxpayers’ money</w:t>
      </w:r>
      <w:r w:rsidR="004D621A">
        <w:t>,</w:t>
      </w:r>
      <w:r>
        <w:t xml:space="preserve"> yet the </w:t>
      </w:r>
      <w:r w:rsidR="00DA40F1" w:rsidRPr="00256EF2">
        <w:t>Department for Transport (DfT)</w:t>
      </w:r>
      <w:r w:rsidRPr="00256EF2">
        <w:t xml:space="preserve"> has </w:t>
      </w:r>
      <w:r w:rsidR="00376704" w:rsidRPr="003918CE">
        <w:rPr>
          <w:b/>
          <w:bCs/>
        </w:rPr>
        <w:t>failed to release</w:t>
      </w:r>
      <w:r w:rsidRPr="003918CE">
        <w:rPr>
          <w:b/>
          <w:bCs/>
        </w:rPr>
        <w:t xml:space="preserve"> a cost impact assessment </w:t>
      </w:r>
      <w:r w:rsidRPr="008F1167">
        <w:t>or any other economic justification for its plans</w:t>
      </w:r>
      <w:r w:rsidRPr="003918CE">
        <w:rPr>
          <w:b/>
          <w:bCs/>
        </w:rPr>
        <w:t>.</w:t>
      </w:r>
      <w:r w:rsidR="00417234">
        <w:t xml:space="preserve"> </w:t>
      </w:r>
      <w:r>
        <w:t xml:space="preserve">This is </w:t>
      </w:r>
      <w:r w:rsidR="00DB403D">
        <w:t>e</w:t>
      </w:r>
      <w:r w:rsidR="00B9625E">
        <w:t>specially</w:t>
      </w:r>
      <w:r w:rsidR="00DB403D">
        <w:t xml:space="preserve"> concerning</w:t>
      </w:r>
      <w:r w:rsidR="00DA40F1">
        <w:t xml:space="preserve"> </w:t>
      </w:r>
      <w:r w:rsidR="006C6179">
        <w:t>considering</w:t>
      </w:r>
      <w:r w:rsidR="00DA40F1">
        <w:t xml:space="preserve"> the fact the DfT</w:t>
      </w:r>
      <w:r>
        <w:t xml:space="preserve"> has</w:t>
      </w:r>
      <w:r w:rsidR="00DA40F1">
        <w:t xml:space="preserve"> </w:t>
      </w:r>
      <w:r w:rsidRPr="008F1167">
        <w:rPr>
          <w:b/>
          <w:bCs/>
        </w:rPr>
        <w:t xml:space="preserve">dropped </w:t>
      </w:r>
      <w:r w:rsidR="00DA40F1" w:rsidRPr="008F1167">
        <w:rPr>
          <w:b/>
          <w:bCs/>
        </w:rPr>
        <w:t>GBR’s</w:t>
      </w:r>
      <w:r w:rsidRPr="008F1167">
        <w:rPr>
          <w:b/>
          <w:bCs/>
        </w:rPr>
        <w:t xml:space="preserve"> longstanding statutory duty to ‘maximise social and economic value’</w:t>
      </w:r>
      <w:r w:rsidRPr="00256EF2">
        <w:t xml:space="preserve"> </w:t>
      </w:r>
      <w:r w:rsidR="00DA40F1" w:rsidRPr="00256EF2">
        <w:t>of the railways</w:t>
      </w:r>
      <w:r w:rsidRPr="00256EF2">
        <w:t xml:space="preserve">. </w:t>
      </w:r>
      <w:r>
        <w:t>This</w:t>
      </w:r>
      <w:r w:rsidR="00C32AFC">
        <w:t xml:space="preserve"> ‘socioeconomic</w:t>
      </w:r>
      <w:r>
        <w:t xml:space="preserve"> duty</w:t>
      </w:r>
      <w:r w:rsidR="00C32AFC">
        <w:t>’</w:t>
      </w:r>
      <w:r>
        <w:t xml:space="preserve"> </w:t>
      </w:r>
      <w:r w:rsidR="00656347">
        <w:t>had been</w:t>
      </w:r>
      <w:r>
        <w:t xml:space="preserve"> </w:t>
      </w:r>
      <w:r w:rsidR="00C32AFC">
        <w:t>proposed as</w:t>
      </w:r>
      <w:r>
        <w:t xml:space="preserve"> </w:t>
      </w:r>
      <w:r w:rsidR="00DA40F1">
        <w:t>GBR’s</w:t>
      </w:r>
      <w:r>
        <w:t xml:space="preserve"> founding principle by the previous government</w:t>
      </w:r>
      <w:r w:rsidR="00D653A1">
        <w:t xml:space="preserve"> throughout</w:t>
      </w:r>
      <w:r w:rsidR="00656347">
        <w:t xml:space="preserve"> the period 2021 </w:t>
      </w:r>
      <w:r w:rsidR="00DB403D">
        <w:t>–</w:t>
      </w:r>
      <w:r w:rsidR="00656347">
        <w:t xml:space="preserve"> 2024</w:t>
      </w:r>
      <w:r w:rsidR="007312B3">
        <w:t>,</w:t>
      </w:r>
      <w:r w:rsidR="00DB403D">
        <w:t xml:space="preserve"> specifically</w:t>
      </w:r>
      <w:r>
        <w:t xml:space="preserve"> because it </w:t>
      </w:r>
      <w:r w:rsidR="007312B3">
        <w:t>was thought to guarantee</w:t>
      </w:r>
      <w:r>
        <w:t xml:space="preserve"> the value of taxpayer investment.</w:t>
      </w:r>
      <w:r w:rsidR="00DA40F1">
        <w:rPr>
          <w:rStyle w:val="FootnoteReference"/>
        </w:rPr>
        <w:footnoteReference w:id="2"/>
      </w:r>
    </w:p>
    <w:p w14:paraId="781098B7" w14:textId="4F0CA8AF" w:rsidR="005D5A98" w:rsidRDefault="005D5A98">
      <w:r>
        <w:t xml:space="preserve">Instead, the </w:t>
      </w:r>
      <w:r w:rsidR="00656347">
        <w:t>February</w:t>
      </w:r>
      <w:r w:rsidR="00C5473F">
        <w:t xml:space="preserve"> GBR</w:t>
      </w:r>
      <w:r w:rsidR="00656347">
        <w:t xml:space="preserve"> consultation document</w:t>
      </w:r>
      <w:r>
        <w:t xml:space="preserve"> </w:t>
      </w:r>
      <w:r w:rsidR="00DB403D">
        <w:t>strongly implied</w:t>
      </w:r>
      <w:r w:rsidR="00656347">
        <w:t xml:space="preserve"> </w:t>
      </w:r>
      <w:r>
        <w:t xml:space="preserve">that </w:t>
      </w:r>
      <w:r w:rsidR="00DA40F1" w:rsidRPr="00DA40F1">
        <w:rPr>
          <w:b/>
          <w:bCs/>
        </w:rPr>
        <w:t>a new</w:t>
      </w:r>
      <w:r w:rsidRPr="00DA40F1">
        <w:rPr>
          <w:b/>
          <w:bCs/>
        </w:rPr>
        <w:t xml:space="preserve"> ‘streamlined model’ ha</w:t>
      </w:r>
      <w:r w:rsidR="00DA40F1" w:rsidRPr="00DA40F1">
        <w:rPr>
          <w:b/>
          <w:bCs/>
        </w:rPr>
        <w:t>s been pre-</w:t>
      </w:r>
      <w:r w:rsidRPr="00DA40F1">
        <w:rPr>
          <w:b/>
          <w:bCs/>
        </w:rPr>
        <w:t>decided,</w:t>
      </w:r>
      <w:r w:rsidR="000476CB">
        <w:rPr>
          <w:rStyle w:val="FootnoteReference"/>
          <w:b/>
          <w:bCs/>
        </w:rPr>
        <w:footnoteReference w:id="3"/>
      </w:r>
      <w:r>
        <w:t xml:space="preserve"> with all </w:t>
      </w:r>
      <w:r w:rsidR="00DB403D">
        <w:t>questions</w:t>
      </w:r>
      <w:r w:rsidR="00C5473F">
        <w:t xml:space="preserve"> relating to </w:t>
      </w:r>
      <w:r w:rsidR="00DB403D">
        <w:t xml:space="preserve">‘public interest’ duties </w:t>
      </w:r>
      <w:r w:rsidR="00890147">
        <w:t>removed</w:t>
      </w:r>
      <w:r w:rsidR="00C5473F">
        <w:t xml:space="preserve">. </w:t>
      </w:r>
      <w:r w:rsidR="00B9625E">
        <w:t>This included</w:t>
      </w:r>
      <w:r w:rsidR="00D42F15">
        <w:t xml:space="preserve"> the removal of</w:t>
      </w:r>
      <w:r w:rsidR="00B9625E">
        <w:t xml:space="preserve"> </w:t>
      </w:r>
      <w:r w:rsidR="00B9625E" w:rsidRPr="00C4457D">
        <w:rPr>
          <w:b/>
          <w:bCs/>
        </w:rPr>
        <w:t>longstanding statutory</w:t>
      </w:r>
      <w:r w:rsidRPr="00C4457D">
        <w:rPr>
          <w:b/>
          <w:bCs/>
        </w:rPr>
        <w:t xml:space="preserve"> duties for accessibility and environment</w:t>
      </w:r>
      <w:r w:rsidR="009C7D78">
        <w:rPr>
          <w:b/>
          <w:bCs/>
        </w:rPr>
        <w:t xml:space="preserve">, </w:t>
      </w:r>
      <w:r w:rsidR="009C7D78" w:rsidRPr="009C7D78">
        <w:t xml:space="preserve">despite these being </w:t>
      </w:r>
      <w:r w:rsidR="008347DD">
        <w:t xml:space="preserve">the </w:t>
      </w:r>
      <w:r w:rsidR="0022530A">
        <w:t>most urgent socioeconomic and human rights issues in transport</w:t>
      </w:r>
      <w:r w:rsidR="001E44DF">
        <w:t xml:space="preserve"> and</w:t>
      </w:r>
      <w:r w:rsidR="00D42F15">
        <w:t xml:space="preserve"> strongly supported by the public in previous consultations</w:t>
      </w:r>
      <w:r>
        <w:t>.</w:t>
      </w:r>
      <w:r w:rsidR="00DA40F1">
        <w:rPr>
          <w:rStyle w:val="FootnoteReference"/>
        </w:rPr>
        <w:footnoteReference w:id="4"/>
      </w:r>
    </w:p>
    <w:p w14:paraId="6B92C1A0" w14:textId="759E7908" w:rsidR="003B7906" w:rsidRPr="003B7906" w:rsidRDefault="003B7906" w:rsidP="003B7906">
      <w:pPr>
        <w:pStyle w:val="ListParagraph"/>
        <w:numPr>
          <w:ilvl w:val="0"/>
          <w:numId w:val="2"/>
        </w:numPr>
        <w:rPr>
          <w:b/>
          <w:bCs/>
          <w:u w:val="single"/>
        </w:rPr>
      </w:pPr>
      <w:r w:rsidRPr="003B7906">
        <w:rPr>
          <w:b/>
          <w:bCs/>
          <w:u w:val="single"/>
        </w:rPr>
        <w:t>Demand the DfT publishes GBR cost impact assessment</w:t>
      </w:r>
      <w:r w:rsidR="00EC1717">
        <w:rPr>
          <w:b/>
          <w:bCs/>
          <w:u w:val="single"/>
        </w:rPr>
        <w:t>s</w:t>
      </w:r>
    </w:p>
    <w:p w14:paraId="736917CE" w14:textId="15A6AD33" w:rsidR="003B7906" w:rsidRDefault="005D5A98">
      <w:r>
        <w:t xml:space="preserve">Currently, the </w:t>
      </w:r>
      <w:r w:rsidR="00656347">
        <w:t>DfT</w:t>
      </w:r>
      <w:r>
        <w:t xml:space="preserve"> </w:t>
      </w:r>
      <w:r w:rsidR="00656347">
        <w:t>refuses to release:</w:t>
      </w:r>
      <w:r>
        <w:t xml:space="preserve"> (1) the cost impact assessment for the GBR legislative proposal</w:t>
      </w:r>
      <w:r w:rsidR="00656347">
        <w:t xml:space="preserve">; </w:t>
      </w:r>
      <w:r>
        <w:t xml:space="preserve">(2) </w:t>
      </w:r>
      <w:r w:rsidR="00450A5C">
        <w:t xml:space="preserve">the </w:t>
      </w:r>
      <w:r>
        <w:t xml:space="preserve">‘organisational design’ intended by the new legislation; (3) other cost and economic impact modelling, believed to compare alternative </w:t>
      </w:r>
      <w:r w:rsidR="001E6713">
        <w:t xml:space="preserve">GBR </w:t>
      </w:r>
      <w:r>
        <w:t>models; (4) work on ‘passenger revenue growth strategies’ being conducted by transport owning groups without any public oversight</w:t>
      </w:r>
      <w:r w:rsidR="00724E89">
        <w:t>;</w:t>
      </w:r>
      <w:r w:rsidR="00656347">
        <w:t xml:space="preserve"> </w:t>
      </w:r>
      <w:r w:rsidR="00724E89">
        <w:t>(</w:t>
      </w:r>
      <w:r w:rsidR="00DA40F1">
        <w:t>6</w:t>
      </w:r>
      <w:r w:rsidR="00724E89">
        <w:t>) economic analysis finding that continuing open access private operators would cost the taxpayer £1.1 billion in the next decade on the east coast mainline alone</w:t>
      </w:r>
      <w:r w:rsidR="00656347">
        <w:t>;</w:t>
      </w:r>
      <w:r w:rsidR="00A77941">
        <w:rPr>
          <w:rStyle w:val="FootnoteReference"/>
        </w:rPr>
        <w:footnoteReference w:id="5"/>
      </w:r>
      <w:r w:rsidR="00656347">
        <w:t xml:space="preserve"> and (7) cost impact assessment and options document</w:t>
      </w:r>
      <w:r w:rsidR="00D03201">
        <w:t>s</w:t>
      </w:r>
      <w:r w:rsidR="00656347">
        <w:t xml:space="preserve"> for a</w:t>
      </w:r>
      <w:r w:rsidR="00D03201">
        <w:t xml:space="preserve">n </w:t>
      </w:r>
      <w:r w:rsidR="00656347">
        <w:t>integrated</w:t>
      </w:r>
      <w:r w:rsidR="00D03201">
        <w:t xml:space="preserve"> GBR</w:t>
      </w:r>
      <w:r w:rsidR="00656347">
        <w:t xml:space="preserve"> ticket retail platform</w:t>
      </w:r>
      <w:r w:rsidR="00C977E0">
        <w:t>.</w:t>
      </w:r>
    </w:p>
    <w:p w14:paraId="507B366D" w14:textId="1FFE5207" w:rsidR="0097357B" w:rsidRPr="00174742" w:rsidRDefault="00E55EBA" w:rsidP="00174742">
      <w:pPr>
        <w:pStyle w:val="ListParagraph"/>
        <w:numPr>
          <w:ilvl w:val="0"/>
          <w:numId w:val="2"/>
        </w:numPr>
        <w:rPr>
          <w:b/>
          <w:bCs/>
          <w:u w:val="single"/>
        </w:rPr>
      </w:pPr>
      <w:r>
        <w:rPr>
          <w:b/>
          <w:bCs/>
          <w:u w:val="single"/>
        </w:rPr>
        <w:t xml:space="preserve">Demand transparency and </w:t>
      </w:r>
      <w:r w:rsidR="0097357B" w:rsidRPr="00174742">
        <w:rPr>
          <w:b/>
          <w:bCs/>
          <w:u w:val="single"/>
        </w:rPr>
        <w:t>democratic process</w:t>
      </w:r>
    </w:p>
    <w:p w14:paraId="6E79D466" w14:textId="1162DF40" w:rsidR="003B39D8" w:rsidRDefault="0097357B">
      <w:r>
        <w:t xml:space="preserve">It is vital to ask what the DfT is </w:t>
      </w:r>
      <w:r w:rsidR="00C977E0">
        <w:t>trying</w:t>
      </w:r>
      <w:r>
        <w:t xml:space="preserve"> to conceal with this lack of transparency</w:t>
      </w:r>
      <w:r w:rsidR="00C977E0">
        <w:t>.</w:t>
      </w:r>
      <w:r>
        <w:t xml:space="preserve"> </w:t>
      </w:r>
      <w:r w:rsidR="007E3621">
        <w:t>We have</w:t>
      </w:r>
      <w:r w:rsidR="00D41D14">
        <w:t xml:space="preserve"> recently uncovered evidence of</w:t>
      </w:r>
      <w:r w:rsidR="002409E3">
        <w:t xml:space="preserve"> highly </w:t>
      </w:r>
      <w:r w:rsidR="003B39D8">
        <w:t xml:space="preserve">secretive and unaccountable relationships </w:t>
      </w:r>
      <w:r w:rsidR="001C7B6F">
        <w:t>behind</w:t>
      </w:r>
      <w:r>
        <w:t xml:space="preserve"> these plans, with the previous government’s task force ‘Great British Railways Transition Team’</w:t>
      </w:r>
      <w:r w:rsidR="00E30B56">
        <w:t xml:space="preserve"> (GBRTT),</w:t>
      </w:r>
      <w:r>
        <w:t xml:space="preserve"> continuing </w:t>
      </w:r>
      <w:r w:rsidR="00AA3A62">
        <w:t>to act as</w:t>
      </w:r>
      <w:r>
        <w:t xml:space="preserve"> the main </w:t>
      </w:r>
      <w:r w:rsidR="003E4537">
        <w:t xml:space="preserve">policy </w:t>
      </w:r>
      <w:r>
        <w:t>advisor to the DfT until</w:t>
      </w:r>
      <w:r w:rsidR="001C7B6F">
        <w:t xml:space="preserve"> March</w:t>
      </w:r>
      <w:r>
        <w:t xml:space="preserve"> this year. </w:t>
      </w:r>
      <w:r w:rsidR="00AA3A62">
        <w:t xml:space="preserve">This included two official advice </w:t>
      </w:r>
      <w:r w:rsidR="00B55BC1">
        <w:lastRenderedPageBreak/>
        <w:t>r</w:t>
      </w:r>
      <w:r w:rsidR="00AA3A62">
        <w:t xml:space="preserve">eports on </w:t>
      </w:r>
      <w:r w:rsidR="00D41D14">
        <w:t>‘</w:t>
      </w:r>
      <w:r w:rsidR="00AA3A62">
        <w:t>organisational design</w:t>
      </w:r>
      <w:r w:rsidR="00D41D14">
        <w:t>’</w:t>
      </w:r>
      <w:r w:rsidR="004D6B45">
        <w:t xml:space="preserve"> submitted</w:t>
      </w:r>
      <w:r w:rsidR="00D41D14">
        <w:t xml:space="preserve"> to ministers</w:t>
      </w:r>
      <w:r w:rsidR="004D6B45">
        <w:t xml:space="preserve"> </w:t>
      </w:r>
      <w:r w:rsidR="00AB7976">
        <w:t>as recently as</w:t>
      </w:r>
      <w:r w:rsidR="004D6B45">
        <w:t xml:space="preserve"> November and December 2024, thus </w:t>
      </w:r>
      <w:r w:rsidR="009A50D5">
        <w:t>directly influencing</w:t>
      </w:r>
      <w:r w:rsidR="004D6B45">
        <w:t xml:space="preserve"> the new </w:t>
      </w:r>
      <w:r w:rsidR="00D41D14">
        <w:t>GBR</w:t>
      </w:r>
      <w:r w:rsidR="004D6B45">
        <w:t xml:space="preserve"> proposal.</w:t>
      </w:r>
      <w:r w:rsidR="00026F3F">
        <w:rPr>
          <w:rStyle w:val="FootnoteReference"/>
        </w:rPr>
        <w:footnoteReference w:id="6"/>
      </w:r>
    </w:p>
    <w:p w14:paraId="3EB8BEC4" w14:textId="569502E3" w:rsidR="0097357B" w:rsidRDefault="00492578">
      <w:r>
        <w:t xml:space="preserve">Worse still, Transport Owning Groups First, Transport UK and Arriva </w:t>
      </w:r>
      <w:r w:rsidR="007511A8">
        <w:t xml:space="preserve">were </w:t>
      </w:r>
      <w:r w:rsidR="00B55BC1">
        <w:t xml:space="preserve">operating </w:t>
      </w:r>
      <w:r w:rsidR="00FA1BC5">
        <w:t xml:space="preserve">deep inside GBRTT under the previous government, even </w:t>
      </w:r>
      <w:r w:rsidR="007511A8">
        <w:t>co-authoring</w:t>
      </w:r>
      <w:r w:rsidR="00271278">
        <w:t xml:space="preserve"> official advice to ministers</w:t>
      </w:r>
      <w:r w:rsidR="007511A8">
        <w:t xml:space="preserve"> </w:t>
      </w:r>
      <w:r w:rsidR="00271278">
        <w:t>from June 2022 until at least late 2023</w:t>
      </w:r>
      <w:r w:rsidR="007511A8">
        <w:t>, with a focus on keeping a role for private companies</w:t>
      </w:r>
      <w:r w:rsidR="00373C31">
        <w:t xml:space="preserve"> in the design of the organisation</w:t>
      </w:r>
      <w:r w:rsidR="00271278">
        <w:t>.</w:t>
      </w:r>
      <w:r w:rsidR="0080499B">
        <w:rPr>
          <w:rStyle w:val="FootnoteReference"/>
        </w:rPr>
        <w:footnoteReference w:id="7"/>
      </w:r>
      <w:r w:rsidR="00271278">
        <w:t xml:space="preserve"> Their role</w:t>
      </w:r>
      <w:r w:rsidR="000A2671">
        <w:t>, under the name ‘Rail Partners’</w:t>
      </w:r>
      <w:r w:rsidR="00373C31">
        <w:t>,</w:t>
      </w:r>
      <w:r w:rsidR="00271278">
        <w:t xml:space="preserve"> continued </w:t>
      </w:r>
      <w:r w:rsidR="00BF40FE">
        <w:t>until this year</w:t>
      </w:r>
      <w:r w:rsidR="00271278">
        <w:t>,</w:t>
      </w:r>
      <w:r w:rsidR="00030BF5">
        <w:t xml:space="preserve"> </w:t>
      </w:r>
      <w:r w:rsidR="006F4751">
        <w:t xml:space="preserve">developing and </w:t>
      </w:r>
      <w:r w:rsidR="00271278">
        <w:t>enacting ‘passenger</w:t>
      </w:r>
      <w:r w:rsidR="006F4751">
        <w:t xml:space="preserve"> revenue growth strategies’; despite never having any formal terms</w:t>
      </w:r>
      <w:r w:rsidR="00030BF5">
        <w:t xml:space="preserve"> </w:t>
      </w:r>
      <w:r w:rsidR="00775CFA">
        <w:t>for th</w:t>
      </w:r>
      <w:r w:rsidR="00A75698">
        <w:t>ese</w:t>
      </w:r>
      <w:r w:rsidR="00775CFA">
        <w:t xml:space="preserve"> arrangement</w:t>
      </w:r>
      <w:r w:rsidR="00A75698">
        <w:t>s</w:t>
      </w:r>
      <w:r w:rsidR="00775CFA">
        <w:t>.</w:t>
      </w:r>
      <w:r w:rsidR="0080499B">
        <w:rPr>
          <w:rStyle w:val="FootnoteReference"/>
        </w:rPr>
        <w:footnoteReference w:id="8"/>
      </w:r>
      <w:r w:rsidR="00775CFA">
        <w:t xml:space="preserve"> </w:t>
      </w:r>
      <w:r w:rsidR="00A75698">
        <w:t>Though both Rail Partners and GBRTT were wound down in March 2025; th</w:t>
      </w:r>
      <w:r w:rsidR="00A557E5">
        <w:t>e</w:t>
      </w:r>
      <w:r w:rsidR="000C6E85">
        <w:t xml:space="preserve"> same</w:t>
      </w:r>
      <w:r w:rsidR="00A557E5">
        <w:t xml:space="preserve"> Owning Groups continue to dominate the</w:t>
      </w:r>
      <w:r w:rsidR="000C6E85">
        <w:t xml:space="preserve"> entire</w:t>
      </w:r>
      <w:r w:rsidR="00A557E5">
        <w:t xml:space="preserve"> ticket retail system and the development of multiple areas of policy</w:t>
      </w:r>
      <w:r w:rsidR="006E638C">
        <w:t>, under the name ‘Rail Delivery Group.’</w:t>
      </w:r>
      <w:r w:rsidR="0080499B">
        <w:rPr>
          <w:rStyle w:val="FootnoteReference"/>
        </w:rPr>
        <w:footnoteReference w:id="9"/>
      </w:r>
      <w:r w:rsidR="0097357B">
        <w:t>Meanwhile, Shadow GBR, established by the current government in October</w:t>
      </w:r>
      <w:r w:rsidR="00E30B56">
        <w:t xml:space="preserve"> 2024</w:t>
      </w:r>
      <w:r w:rsidR="0097357B">
        <w:t xml:space="preserve">, appears to have </w:t>
      </w:r>
      <w:r w:rsidR="006B157D">
        <w:t xml:space="preserve">been </w:t>
      </w:r>
      <w:r w:rsidR="00825D34">
        <w:t>largely inactive</w:t>
      </w:r>
      <w:r w:rsidR="006B157D">
        <w:t xml:space="preserve"> </w:t>
      </w:r>
      <w:r w:rsidR="00825D34">
        <w:t>and remains</w:t>
      </w:r>
      <w:r w:rsidR="006B157D">
        <w:t xml:space="preserve"> just </w:t>
      </w:r>
      <w:r w:rsidR="0097357B">
        <w:t>a single individual without any formal role or resources.</w:t>
      </w:r>
      <w:r w:rsidR="0097357B">
        <w:rPr>
          <w:rStyle w:val="FootnoteReference"/>
        </w:rPr>
        <w:footnoteReference w:id="10"/>
      </w:r>
      <w:r w:rsidR="00C80C54">
        <w:t xml:space="preserve"> </w:t>
      </w:r>
    </w:p>
    <w:p w14:paraId="103171EF" w14:textId="4BD31502" w:rsidR="00ED7596" w:rsidRPr="00681BA0" w:rsidRDefault="00681BA0" w:rsidP="00ED7596">
      <w:pPr>
        <w:pStyle w:val="ListParagraph"/>
        <w:numPr>
          <w:ilvl w:val="0"/>
          <w:numId w:val="2"/>
        </w:numPr>
        <w:rPr>
          <w:b/>
          <w:bCs/>
          <w:u w:val="single"/>
        </w:rPr>
      </w:pPr>
      <w:r>
        <w:rPr>
          <w:b/>
          <w:bCs/>
          <w:u w:val="single"/>
        </w:rPr>
        <w:t xml:space="preserve">Competition law </w:t>
      </w:r>
      <w:r w:rsidR="00804C62">
        <w:rPr>
          <w:b/>
          <w:bCs/>
          <w:u w:val="single"/>
        </w:rPr>
        <w:t>prevents rail integration in the public interest</w:t>
      </w:r>
    </w:p>
    <w:p w14:paraId="68F27C58" w14:textId="5BB9D977" w:rsidR="00D2048D" w:rsidRDefault="004370D5" w:rsidP="00CB386D">
      <w:r>
        <w:t xml:space="preserve">There can be only one reason </w:t>
      </w:r>
      <w:r w:rsidR="00761775">
        <w:t xml:space="preserve">that </w:t>
      </w:r>
      <w:r w:rsidR="00475598">
        <w:t xml:space="preserve">GBR cost impact assessments </w:t>
      </w:r>
      <w:r>
        <w:t xml:space="preserve">are being </w:t>
      </w:r>
      <w:r w:rsidR="007B7D63">
        <w:t>concealed,</w:t>
      </w:r>
      <w:r w:rsidR="001A0485">
        <w:t xml:space="preserve"> and this is</w:t>
      </w:r>
      <w:r w:rsidR="00417B02">
        <w:t xml:space="preserve"> also</w:t>
      </w:r>
      <w:r w:rsidR="001A0485">
        <w:t xml:space="preserve"> the</w:t>
      </w:r>
      <w:r w:rsidR="00C930E7">
        <w:t xml:space="preserve"> government and rail industry</w:t>
      </w:r>
      <w:r w:rsidR="000846F7">
        <w:t xml:space="preserve">’s biggest taboo </w:t>
      </w:r>
      <w:r w:rsidR="00433EF2">
        <w:t>-</w:t>
      </w:r>
      <w:r w:rsidR="00F45284">
        <w:t xml:space="preserve"> </w:t>
      </w:r>
      <w:r w:rsidR="00F06FB3" w:rsidRPr="00804C62">
        <w:rPr>
          <w:b/>
          <w:bCs/>
        </w:rPr>
        <w:t>the restrictions of competition law on</w:t>
      </w:r>
      <w:r w:rsidR="001A0485">
        <w:rPr>
          <w:b/>
          <w:bCs/>
        </w:rPr>
        <w:t xml:space="preserve"> rail integration and</w:t>
      </w:r>
      <w:r w:rsidR="00F06FB3" w:rsidRPr="00804C62">
        <w:rPr>
          <w:b/>
          <w:bCs/>
        </w:rPr>
        <w:t xml:space="preserve"> </w:t>
      </w:r>
      <w:r w:rsidR="00433EF2">
        <w:rPr>
          <w:b/>
          <w:bCs/>
        </w:rPr>
        <w:t>the</w:t>
      </w:r>
      <w:r w:rsidR="00F06FB3" w:rsidRPr="00804C62">
        <w:rPr>
          <w:b/>
          <w:bCs/>
        </w:rPr>
        <w:t xml:space="preserve"> </w:t>
      </w:r>
      <w:r w:rsidR="00417B02">
        <w:rPr>
          <w:b/>
          <w:bCs/>
        </w:rPr>
        <w:t>socioeconomic interest</w:t>
      </w:r>
      <w:r w:rsidR="00F06FB3" w:rsidRPr="00804C62">
        <w:rPr>
          <w:b/>
          <w:bCs/>
        </w:rPr>
        <w:t>.</w:t>
      </w:r>
      <w:r w:rsidR="005C66AA">
        <w:rPr>
          <w:b/>
          <w:bCs/>
        </w:rPr>
        <w:t xml:space="preserve"> </w:t>
      </w:r>
      <w:r w:rsidR="00417B02">
        <w:t>Competition law conflicts have</w:t>
      </w:r>
      <w:r w:rsidR="000846F7" w:rsidRPr="00F37C84">
        <w:t xml:space="preserve"> been the</w:t>
      </w:r>
      <w:r w:rsidR="00FA15AD">
        <w:t xml:space="preserve"> main</w:t>
      </w:r>
      <w:r w:rsidR="00973C3A" w:rsidRPr="00F37C84">
        <w:t xml:space="preserve"> reason for </w:t>
      </w:r>
      <w:r w:rsidR="00FA15AD">
        <w:t xml:space="preserve">delays to GBR legislation for over four years </w:t>
      </w:r>
      <w:r w:rsidR="00973C3A" w:rsidRPr="00F37C84">
        <w:t>and all the same problems remain in the current proposal, despite</w:t>
      </w:r>
      <w:r w:rsidR="00F37C84" w:rsidRPr="00F37C84">
        <w:t xml:space="preserve"> most train operators coming into public ownership.</w:t>
      </w:r>
      <w:r w:rsidR="0081455F">
        <w:t xml:space="preserve"> </w:t>
      </w:r>
      <w:r w:rsidR="00644578">
        <w:t xml:space="preserve">Currently, </w:t>
      </w:r>
      <w:r w:rsidR="00E023EC">
        <w:t xml:space="preserve">GBR </w:t>
      </w:r>
      <w:r w:rsidR="00644578">
        <w:t>would</w:t>
      </w:r>
      <w:r w:rsidR="00E023EC">
        <w:t xml:space="preserve"> be considered a ‘market participant’</w:t>
      </w:r>
      <w:r w:rsidR="00362EEA">
        <w:t xml:space="preserve"> in several crucial areas</w:t>
      </w:r>
      <w:r w:rsidR="00012D62">
        <w:t>, forbidding it from favouring the socioeconomic interes</w:t>
      </w:r>
      <w:r w:rsidR="00622C72">
        <w:t xml:space="preserve">t in any way that </w:t>
      </w:r>
      <w:r w:rsidR="00060661">
        <w:t xml:space="preserve">would </w:t>
      </w:r>
      <w:r w:rsidR="00D569CF">
        <w:t>‘discriminate’ against</w:t>
      </w:r>
      <w:r w:rsidR="00060661">
        <w:t xml:space="preserve"> private companies</w:t>
      </w:r>
      <w:r w:rsidR="00362EEA">
        <w:t>.</w:t>
      </w:r>
      <w:r w:rsidR="004213DC">
        <w:rPr>
          <w:rStyle w:val="FootnoteReference"/>
        </w:rPr>
        <w:footnoteReference w:id="11"/>
      </w:r>
    </w:p>
    <w:p w14:paraId="3DE41C81" w14:textId="3FE729BC" w:rsidR="00F62E3A" w:rsidRDefault="00D569CF" w:rsidP="00CB386D">
      <w:r>
        <w:t xml:space="preserve">The only way to integrate the railway is to </w:t>
      </w:r>
      <w:r w:rsidRPr="00FF2545">
        <w:rPr>
          <w:b/>
          <w:bCs/>
        </w:rPr>
        <w:t xml:space="preserve">repeal </w:t>
      </w:r>
      <w:r w:rsidR="0021578C" w:rsidRPr="00FF2545">
        <w:rPr>
          <w:b/>
          <w:bCs/>
        </w:rPr>
        <w:t>all competition clauses of the Railways Act 1993</w:t>
      </w:r>
      <w:r w:rsidR="00030CB6" w:rsidRPr="00FF2545">
        <w:rPr>
          <w:b/>
          <w:bCs/>
        </w:rPr>
        <w:t>,</w:t>
      </w:r>
      <w:r w:rsidR="00030CB6">
        <w:t xml:space="preserve"> </w:t>
      </w:r>
      <w:r w:rsidR="00745C57">
        <w:t>a topic that must</w:t>
      </w:r>
      <w:r w:rsidR="00030CB6">
        <w:t xml:space="preserve"> urgently be d</w:t>
      </w:r>
      <w:r w:rsidR="00BC0BAF">
        <w:t>ebated</w:t>
      </w:r>
      <w:r w:rsidR="00030CB6">
        <w:t xml:space="preserve"> in a parliamentary forum.</w:t>
      </w:r>
      <w:r w:rsidR="00105901">
        <w:rPr>
          <w:rStyle w:val="FootnoteReference"/>
        </w:rPr>
        <w:footnoteReference w:id="12"/>
      </w:r>
      <w:r w:rsidR="00030CB6">
        <w:t xml:space="preserve"> </w:t>
      </w:r>
      <w:r w:rsidR="002D6090">
        <w:t xml:space="preserve">We can see the proof of this </w:t>
      </w:r>
      <w:r w:rsidR="00BC0BAF">
        <w:t>throughout the history of GBR’s policy development</w:t>
      </w:r>
      <w:r w:rsidR="00807F20">
        <w:t>, with the</w:t>
      </w:r>
      <w:r w:rsidR="00030CB6">
        <w:t xml:space="preserve"> previous government </w:t>
      </w:r>
      <w:r w:rsidR="00B17C4D">
        <w:t>failing to find a way to legislate for</w:t>
      </w:r>
      <w:r w:rsidR="00FB3AB6">
        <w:t xml:space="preserve"> train operators to collaborate across the system</w:t>
      </w:r>
      <w:r w:rsidR="00FF2545">
        <w:t xml:space="preserve"> on passenger-facing services</w:t>
      </w:r>
      <w:r w:rsidR="00FB3AB6">
        <w:t xml:space="preserve">, </w:t>
      </w:r>
      <w:r w:rsidR="00165B98">
        <w:t>conclud</w:t>
      </w:r>
      <w:r w:rsidR="008D5948">
        <w:t>ing</w:t>
      </w:r>
      <w:r w:rsidR="00165B98">
        <w:t xml:space="preserve"> in 2024 that even the most </w:t>
      </w:r>
      <w:r w:rsidR="00EA7691">
        <w:t>limited ‘competition law</w:t>
      </w:r>
      <w:r w:rsidR="00036877">
        <w:t xml:space="preserve"> exemptions’</w:t>
      </w:r>
      <w:r w:rsidR="00165B98">
        <w:t xml:space="preserve"> </w:t>
      </w:r>
      <w:r w:rsidR="00A54110">
        <w:t>were impossible</w:t>
      </w:r>
      <w:r w:rsidR="00165B98">
        <w:t xml:space="preserve"> </w:t>
      </w:r>
      <w:r w:rsidR="00A54110">
        <w:t>due to the restrictions of the Competition Act 1998, which tightly controls any collaboration within competitive market</w:t>
      </w:r>
      <w:r w:rsidR="00165B98">
        <w:t>.</w:t>
      </w:r>
      <w:r w:rsidR="008D5948">
        <w:rPr>
          <w:rStyle w:val="FootnoteReference"/>
        </w:rPr>
        <w:footnoteReference w:id="13"/>
      </w:r>
      <w:r w:rsidR="00F62E3A">
        <w:t xml:space="preserve"> This problem will not go away under public ownership, rathe</w:t>
      </w:r>
      <w:r w:rsidR="00E373F2">
        <w:t xml:space="preserve">r, the competition environment </w:t>
      </w:r>
      <w:r w:rsidR="00AF573C">
        <w:t>will continue to</w:t>
      </w:r>
      <w:r w:rsidR="00E373F2">
        <w:t xml:space="preserve"> </w:t>
      </w:r>
      <w:r w:rsidR="00745C57">
        <w:t>restrict</w:t>
      </w:r>
      <w:r w:rsidR="00AF573C">
        <w:t xml:space="preserve"> even</w:t>
      </w:r>
      <w:r w:rsidR="00E373F2">
        <w:t xml:space="preserve"> publicly owned operators</w:t>
      </w:r>
      <w:r w:rsidR="00745C57">
        <w:t xml:space="preserve"> collaborating with each other</w:t>
      </w:r>
      <w:r w:rsidR="007B7D63">
        <w:t xml:space="preserve"> because </w:t>
      </w:r>
      <w:r w:rsidR="0025229F">
        <w:t>this would be</w:t>
      </w:r>
      <w:r w:rsidR="00935767">
        <w:t xml:space="preserve"> </w:t>
      </w:r>
      <w:r w:rsidR="007B7D63">
        <w:t>viewed as</w:t>
      </w:r>
      <w:r w:rsidR="00745C57">
        <w:t xml:space="preserve"> ‘market dominance’</w:t>
      </w:r>
      <w:r w:rsidR="00A86753">
        <w:t xml:space="preserve">. From the </w:t>
      </w:r>
      <w:r w:rsidR="00F8701E">
        <w:t>taxpayers’ perspective</w:t>
      </w:r>
      <w:r w:rsidR="00A86753">
        <w:t xml:space="preserve">, </w:t>
      </w:r>
      <w:r w:rsidR="00A86753">
        <w:lastRenderedPageBreak/>
        <w:t>th</w:t>
      </w:r>
      <w:r w:rsidR="00A54110">
        <w:t xml:space="preserve">is </w:t>
      </w:r>
      <w:r w:rsidR="00F41AFA">
        <w:t xml:space="preserve">means </w:t>
      </w:r>
      <w:r w:rsidR="00E97D26">
        <w:t xml:space="preserve">the value of </w:t>
      </w:r>
      <w:r w:rsidR="006E0EDD">
        <w:t>public money cannot be</w:t>
      </w:r>
      <w:r w:rsidR="00E97D26">
        <w:t xml:space="preserve"> optimised</w:t>
      </w:r>
      <w:r w:rsidR="0078693C">
        <w:t xml:space="preserve"> </w:t>
      </w:r>
      <w:r w:rsidR="00D04D01">
        <w:t>and is under the</w:t>
      </w:r>
      <w:r w:rsidR="00E52E39">
        <w:t xml:space="preserve"> constant threat of</w:t>
      </w:r>
      <w:r w:rsidR="006E0EDD">
        <w:t xml:space="preserve"> expensive</w:t>
      </w:r>
      <w:r w:rsidR="00E52E39">
        <w:t xml:space="preserve"> </w:t>
      </w:r>
      <w:r w:rsidR="006E0EDD">
        <w:t>litigation if GBR veers t</w:t>
      </w:r>
      <w:r w:rsidR="00105901">
        <w:t>o</w:t>
      </w:r>
      <w:r w:rsidR="006E0EDD">
        <w:t xml:space="preserve">o far towards the public interest in its decisions. </w:t>
      </w:r>
    </w:p>
    <w:p w14:paraId="444D7FAF" w14:textId="5B198F01" w:rsidR="00E373F2" w:rsidRPr="00E373F2" w:rsidRDefault="00E373F2" w:rsidP="00E373F2">
      <w:pPr>
        <w:pStyle w:val="ListParagraph"/>
        <w:numPr>
          <w:ilvl w:val="0"/>
          <w:numId w:val="2"/>
        </w:numPr>
        <w:rPr>
          <w:b/>
          <w:bCs/>
          <w:u w:val="single"/>
        </w:rPr>
      </w:pPr>
      <w:r w:rsidRPr="00E373F2">
        <w:rPr>
          <w:b/>
          <w:bCs/>
          <w:u w:val="single"/>
        </w:rPr>
        <w:t>GBR integrated ticket retail platform under imminent threat</w:t>
      </w:r>
    </w:p>
    <w:p w14:paraId="3AFB1999" w14:textId="24FBEC9D" w:rsidR="00284A02" w:rsidRDefault="002B3628" w:rsidP="00877048">
      <w:r>
        <w:t xml:space="preserve">The promise of a ‘government-backed’ integrated ticket retail platform for GBR is </w:t>
      </w:r>
      <w:r w:rsidR="00877048">
        <w:t>now</w:t>
      </w:r>
      <w:r>
        <w:t xml:space="preserve"> under</w:t>
      </w:r>
      <w:r w:rsidR="00877048">
        <w:t xml:space="preserve"> imminent</w:t>
      </w:r>
      <w:r>
        <w:t xml:space="preserve"> threat</w:t>
      </w:r>
      <w:r w:rsidR="00877048">
        <w:t xml:space="preserve"> of corporate capture</w:t>
      </w:r>
      <w:r>
        <w:t xml:space="preserve">, with </w:t>
      </w:r>
      <w:r w:rsidR="009A7DC5">
        <w:t>the design of its financial structure</w:t>
      </w:r>
      <w:r>
        <w:t xml:space="preserve"> being fought out behind the scenes between </w:t>
      </w:r>
      <w:r w:rsidR="00AE30FB">
        <w:t>the government and the</w:t>
      </w:r>
      <w:r>
        <w:t xml:space="preserve"> Rail Delivery Group, Independent Rail Retailers, and Trainline, among other private interests.</w:t>
      </w:r>
      <w:r w:rsidR="0016370C">
        <w:rPr>
          <w:rStyle w:val="FootnoteReference"/>
        </w:rPr>
        <w:footnoteReference w:id="14"/>
      </w:r>
      <w:r>
        <w:t xml:space="preserve"> </w:t>
      </w:r>
      <w:r w:rsidR="00AE30FB">
        <w:t xml:space="preserve">GBR integrated </w:t>
      </w:r>
      <w:r w:rsidR="001A2794">
        <w:t xml:space="preserve">ticket retail </w:t>
      </w:r>
      <w:r w:rsidR="00877048">
        <w:t>had been</w:t>
      </w:r>
      <w:r w:rsidR="001A2794">
        <w:t xml:space="preserve"> found to be impossible by the previous government, due to </w:t>
      </w:r>
      <w:r w:rsidR="006A0DE8">
        <w:t>competition advice that any GBR ticket retail must take place</w:t>
      </w:r>
      <w:r w:rsidR="008A5F5B">
        <w:t xml:space="preserve"> under a completely separated financial structure </w:t>
      </w:r>
      <w:r w:rsidR="00284A02">
        <w:t>to prevent</w:t>
      </w:r>
      <w:r w:rsidR="008A5F5B">
        <w:t xml:space="preserve"> it from favouring </w:t>
      </w:r>
      <w:r w:rsidR="0084646F">
        <w:t>the public</w:t>
      </w:r>
      <w:r w:rsidR="008A5F5B">
        <w:t xml:space="preserve"> interest.</w:t>
      </w:r>
      <w:r w:rsidR="00C4383B">
        <w:rPr>
          <w:rStyle w:val="FootnoteReference"/>
        </w:rPr>
        <w:footnoteReference w:id="15"/>
      </w:r>
      <w:r w:rsidR="008A5F5B">
        <w:t xml:space="preserve"> </w:t>
      </w:r>
      <w:r w:rsidR="00877048">
        <w:t>The same issues remain in the new plan, with Independent Rail Retailers and Trainline lobbying for</w:t>
      </w:r>
      <w:r w:rsidR="00F27270">
        <w:t xml:space="preserve"> bans on cross-subsidy</w:t>
      </w:r>
      <w:r w:rsidR="00FB7581">
        <w:t xml:space="preserve">, meaning that GBR would be </w:t>
      </w:r>
      <w:r w:rsidR="00AE1891">
        <w:t>highly restricted in using its profits from ticket retail to fund other parts of its operations.</w:t>
      </w:r>
      <w:r w:rsidR="007D637C">
        <w:rPr>
          <w:rStyle w:val="FootnoteReference"/>
        </w:rPr>
        <w:footnoteReference w:id="16"/>
      </w:r>
    </w:p>
    <w:p w14:paraId="0C008379" w14:textId="58A3D435" w:rsidR="00FD688A" w:rsidRDefault="00DF7179" w:rsidP="00877048">
      <w:r>
        <w:t>The</w:t>
      </w:r>
      <w:r w:rsidR="005019CE">
        <w:t xml:space="preserve"> DfT</w:t>
      </w:r>
      <w:r w:rsidR="002A5120">
        <w:t xml:space="preserve"> must urgently </w:t>
      </w:r>
      <w:r w:rsidR="00C10EE6">
        <w:t>provide</w:t>
      </w:r>
      <w:r w:rsidR="002A5120">
        <w:t xml:space="preserve"> details</w:t>
      </w:r>
      <w:r w:rsidR="00C10EE6">
        <w:t xml:space="preserve"> and economic justification for </w:t>
      </w:r>
      <w:r w:rsidR="005019CE">
        <w:t>its proposed</w:t>
      </w:r>
      <w:r>
        <w:t xml:space="preserve"> ‘government-backed’ GBR retail platform</w:t>
      </w:r>
      <w:r w:rsidR="005019CE">
        <w:t xml:space="preserve">. There are now </w:t>
      </w:r>
      <w:r w:rsidR="00A048B0">
        <w:t>real concerns that this could become a public-private partnershi</w:t>
      </w:r>
      <w:r w:rsidR="0038139A">
        <w:t xml:space="preserve">p, with </w:t>
      </w:r>
      <w:r w:rsidR="00C10EE6">
        <w:t xml:space="preserve">the Secretary of State under pressure from industry to put these plans out to tender before they have been seen by parliament. Without the repeal of competition law from this space, there will inevitably be </w:t>
      </w:r>
      <w:r w:rsidR="0038139A">
        <w:t xml:space="preserve">huge </w:t>
      </w:r>
      <w:r w:rsidR="00122A0E">
        <w:t>limitations</w:t>
      </w:r>
      <w:r w:rsidR="0038139A">
        <w:t xml:space="preserve"> on public policy </w:t>
      </w:r>
      <w:r w:rsidR="0068567C">
        <w:t>around fares and ticketing</w:t>
      </w:r>
      <w:r w:rsidR="00D362EF">
        <w:t xml:space="preserve">, </w:t>
      </w:r>
      <w:r w:rsidR="006E79A6">
        <w:t>and poor value for taxpayers’ money due to restrictions on cross-subsidy</w:t>
      </w:r>
      <w:r w:rsidR="00827375">
        <w:t xml:space="preserve">. </w:t>
      </w:r>
    </w:p>
    <w:p w14:paraId="66FBEA7F" w14:textId="156C6955" w:rsidR="002E112F" w:rsidRPr="007B5729" w:rsidRDefault="00AC22C8" w:rsidP="00877048">
      <w:pPr>
        <w:rPr>
          <w:b/>
          <w:bCs/>
          <w:u w:val="single"/>
        </w:rPr>
      </w:pPr>
      <w:r w:rsidRPr="007B5729">
        <w:rPr>
          <w:b/>
          <w:bCs/>
          <w:u w:val="single"/>
        </w:rPr>
        <w:t xml:space="preserve">Requesting your urgent parliamentary </w:t>
      </w:r>
      <w:r w:rsidR="00F656B5" w:rsidRPr="007B5729">
        <w:rPr>
          <w:b/>
          <w:bCs/>
          <w:u w:val="single"/>
        </w:rPr>
        <w:t>questions</w:t>
      </w:r>
    </w:p>
    <w:p w14:paraId="29C0BFEF" w14:textId="75758143" w:rsidR="003504E9" w:rsidRDefault="00F656B5" w:rsidP="00877048">
      <w:r>
        <w:t xml:space="preserve">MPs and parliamentary select committees must demand that the DfT publishes all cost impact assessments and </w:t>
      </w:r>
      <w:r w:rsidR="0010438E">
        <w:t>plans for GBR’s organisational design</w:t>
      </w:r>
      <w:r>
        <w:t xml:space="preserve"> before </w:t>
      </w:r>
      <w:r w:rsidR="0010438E">
        <w:t xml:space="preserve">the </w:t>
      </w:r>
      <w:r>
        <w:t>draft legislation</w:t>
      </w:r>
      <w:r w:rsidR="00186401">
        <w:t xml:space="preserve">. </w:t>
      </w:r>
      <w:r w:rsidR="00A90C3E">
        <w:t>All other</w:t>
      </w:r>
      <w:r w:rsidR="00186401">
        <w:t xml:space="preserve"> </w:t>
      </w:r>
      <w:r w:rsidR="00A90C3E">
        <w:t>(</w:t>
      </w:r>
      <w:r w:rsidR="00186401">
        <w:t>non-legislative</w:t>
      </w:r>
      <w:r w:rsidR="00A90C3E">
        <w:t>)</w:t>
      </w:r>
      <w:r w:rsidR="00186401">
        <w:t xml:space="preserve"> </w:t>
      </w:r>
      <w:r w:rsidR="006F3C7B">
        <w:t>areas of rail reform should also be halted until all</w:t>
      </w:r>
      <w:r w:rsidR="000B78EA">
        <w:t xml:space="preserve"> </w:t>
      </w:r>
      <w:r w:rsidR="006F3C7B">
        <w:t>plans have been shared with parliament</w:t>
      </w:r>
      <w:r w:rsidR="00A90C3E">
        <w:t xml:space="preserve"> and the public</w:t>
      </w:r>
      <w:r w:rsidR="006F3C7B">
        <w:t xml:space="preserve">, with </w:t>
      </w:r>
      <w:r w:rsidR="000B78EA">
        <w:t xml:space="preserve">proof of the economic case behind </w:t>
      </w:r>
      <w:r w:rsidR="007B5729">
        <w:t>all aspects of the plan</w:t>
      </w:r>
      <w:r w:rsidR="000B78EA">
        <w:t>.</w:t>
      </w:r>
      <w:r>
        <w:t xml:space="preserve"> </w:t>
      </w:r>
    </w:p>
    <w:p w14:paraId="32DF5282" w14:textId="3D5C5D7F" w:rsidR="000B78EA" w:rsidRDefault="00CC47B4" w:rsidP="00814B58">
      <w:r>
        <w:t>We look forward to your urgent action on this matter</w:t>
      </w:r>
      <w:r w:rsidR="00814B58">
        <w:t>.</w:t>
      </w:r>
    </w:p>
    <w:p w14:paraId="128EE1A4" w14:textId="77777777" w:rsidR="005419CD" w:rsidRDefault="005419CD" w:rsidP="00724E89"/>
    <w:p w14:paraId="74849D84" w14:textId="77777777" w:rsidR="003A6DC3" w:rsidRDefault="003A6DC3" w:rsidP="00724E89"/>
    <w:p w14:paraId="5B20F85D" w14:textId="77777777" w:rsidR="003A6DC3" w:rsidRDefault="003A6DC3" w:rsidP="00724E89"/>
    <w:p w14:paraId="7A7778EE" w14:textId="77777777" w:rsidR="0045264E" w:rsidRDefault="0045264E" w:rsidP="005419CD"/>
    <w:p w14:paraId="71130D7E" w14:textId="77777777" w:rsidR="00206394" w:rsidRDefault="00206394" w:rsidP="005419CD">
      <w:pPr>
        <w:rPr>
          <w:sz w:val="28"/>
          <w:szCs w:val="28"/>
        </w:rPr>
      </w:pPr>
    </w:p>
    <w:p w14:paraId="40FD825B" w14:textId="77777777" w:rsidR="00814B58" w:rsidRDefault="00814B58" w:rsidP="005419CD">
      <w:pPr>
        <w:rPr>
          <w:sz w:val="28"/>
          <w:szCs w:val="28"/>
        </w:rPr>
      </w:pPr>
    </w:p>
    <w:p w14:paraId="72026B6B" w14:textId="1B49962D" w:rsidR="005419CD" w:rsidRPr="00A85046" w:rsidRDefault="005419CD" w:rsidP="005419CD">
      <w:pPr>
        <w:rPr>
          <w:sz w:val="28"/>
          <w:szCs w:val="28"/>
        </w:rPr>
      </w:pPr>
      <w:r w:rsidRPr="00A85046">
        <w:rPr>
          <w:sz w:val="28"/>
          <w:szCs w:val="28"/>
        </w:rPr>
        <w:lastRenderedPageBreak/>
        <w:t>A</w:t>
      </w:r>
      <w:r w:rsidR="0045264E">
        <w:rPr>
          <w:sz w:val="28"/>
          <w:szCs w:val="28"/>
        </w:rPr>
        <w:t>PPENDIX</w:t>
      </w:r>
    </w:p>
    <w:p w14:paraId="63199234" w14:textId="4A68EE90" w:rsidR="005419CD" w:rsidRDefault="0045264E" w:rsidP="005419CD">
      <w:r>
        <w:t>Presenting the findings of</w:t>
      </w:r>
      <w:r w:rsidR="004D4324">
        <w:t xml:space="preserve"> our investigation into the</w:t>
      </w:r>
      <w:r w:rsidR="005419CD">
        <w:t xml:space="preserve"> Great British Railways Transition Team (GBRTT)</w:t>
      </w:r>
      <w:r w:rsidR="004D4324">
        <w:t xml:space="preserve">, </w:t>
      </w:r>
      <w:r w:rsidR="00385357">
        <w:t>the previous government’s task force for GBR and a sub-division of Network Rail</w:t>
      </w:r>
      <w:r w:rsidR="006E197F">
        <w:t xml:space="preserve">. A zip folder of </w:t>
      </w:r>
      <w:r w:rsidR="00B23B58">
        <w:t>the freedom of information requests reference</w:t>
      </w:r>
      <w:r w:rsidR="005276E2">
        <w:t xml:space="preserve">d can be </w:t>
      </w:r>
      <w:hyperlink r:id="rId8" w:history="1">
        <w:r w:rsidR="005276E2" w:rsidRPr="005276E2">
          <w:rPr>
            <w:rStyle w:val="Hyperlink"/>
          </w:rPr>
          <w:t>downloaded here.</w:t>
        </w:r>
      </w:hyperlink>
      <w:r w:rsidR="001C5643">
        <w:t xml:space="preserve"> </w:t>
      </w:r>
    </w:p>
    <w:p w14:paraId="670ABD57" w14:textId="7A2D195A" w:rsidR="005419CD" w:rsidRDefault="005419CD" w:rsidP="005419CD">
      <w:pPr>
        <w:pStyle w:val="ListParagraph"/>
        <w:numPr>
          <w:ilvl w:val="0"/>
          <w:numId w:val="3"/>
        </w:numPr>
      </w:pPr>
      <w:r>
        <w:t xml:space="preserve">GBRTT </w:t>
      </w:r>
      <w:r w:rsidR="00C85BFA">
        <w:t xml:space="preserve">has </w:t>
      </w:r>
      <w:r>
        <w:t xml:space="preserve">advised the DfT on </w:t>
      </w:r>
      <w:r w:rsidRPr="00D46DDF">
        <w:rPr>
          <w:b/>
          <w:bCs/>
        </w:rPr>
        <w:t xml:space="preserve">‘GBR organisational design’ </w:t>
      </w:r>
      <w:r>
        <w:t xml:space="preserve">since it was established in 2021, a role that continued throughout the change of government. Its two most recent reports on organisational design were submitted to ministers in November and December 2024, meaning GBRTT’s advice has directly influenced the </w:t>
      </w:r>
      <w:r w:rsidRPr="00C22979">
        <w:t>new ‘streamlined model</w:t>
      </w:r>
      <w:r w:rsidR="00C22979">
        <w:t>’</w:t>
      </w:r>
      <w:r w:rsidRPr="00C22979">
        <w:t xml:space="preserve"> of GBR </w:t>
      </w:r>
      <w:r>
        <w:t>proposed.</w:t>
      </w:r>
      <w:r>
        <w:rPr>
          <w:rStyle w:val="FootnoteReference"/>
        </w:rPr>
        <w:footnoteReference w:id="17"/>
      </w:r>
    </w:p>
    <w:p w14:paraId="220E9464" w14:textId="77777777" w:rsidR="005419CD" w:rsidRDefault="005419CD" w:rsidP="005419CD">
      <w:pPr>
        <w:pStyle w:val="ListParagraph"/>
      </w:pPr>
    </w:p>
    <w:p w14:paraId="245F7561" w14:textId="7D869121" w:rsidR="005419CD" w:rsidRDefault="005419CD" w:rsidP="005419CD">
      <w:pPr>
        <w:pStyle w:val="ListParagraph"/>
        <w:numPr>
          <w:ilvl w:val="0"/>
          <w:numId w:val="3"/>
        </w:numPr>
      </w:pPr>
      <w:r>
        <w:t xml:space="preserve">Transport Owning Groups First, Transport UK Group and Arriva (under the name ‘Rail Partners’) have operated at the heart of GBRTT since June 2022, even co-authoring official advice to ministers on organisational design </w:t>
      </w:r>
      <w:r w:rsidR="00C85BFA">
        <w:t>from</w:t>
      </w:r>
      <w:r>
        <w:t xml:space="preserve"> June 2022 </w:t>
      </w:r>
      <w:r w:rsidR="00C85BFA">
        <w:t>until at least</w:t>
      </w:r>
      <w:r>
        <w:t xml:space="preserve"> Sep 2023.</w:t>
      </w:r>
      <w:r>
        <w:rPr>
          <w:rStyle w:val="FootnoteReference"/>
        </w:rPr>
        <w:footnoteReference w:id="18"/>
      </w:r>
      <w:r>
        <w:t xml:space="preserve"> </w:t>
      </w:r>
    </w:p>
    <w:p w14:paraId="7D26D4CA" w14:textId="77777777" w:rsidR="005419CD" w:rsidRDefault="005419CD" w:rsidP="005419CD">
      <w:pPr>
        <w:pStyle w:val="ListParagraph"/>
      </w:pPr>
    </w:p>
    <w:p w14:paraId="55BE3F52" w14:textId="77777777" w:rsidR="005419CD" w:rsidRDefault="005419CD" w:rsidP="005419CD">
      <w:pPr>
        <w:pStyle w:val="ListParagraph"/>
      </w:pPr>
      <w:r w:rsidRPr="001014E4">
        <w:rPr>
          <w:noProof/>
        </w:rPr>
        <w:drawing>
          <wp:inline distT="0" distB="0" distL="0" distR="0" wp14:anchorId="7DEA980F" wp14:editId="2BD87D59">
            <wp:extent cx="4886361" cy="866781"/>
            <wp:effectExtent l="0" t="0" r="9525" b="9525"/>
            <wp:docPr id="1837098169" name="Picture 1" descr="A white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098169" name="Picture 1" descr="A white sign with black text&#10;&#10;AI-generated content may be incorrect."/>
                    <pic:cNvPicPr/>
                  </pic:nvPicPr>
                  <pic:blipFill>
                    <a:blip r:embed="rId9"/>
                    <a:stretch>
                      <a:fillRect/>
                    </a:stretch>
                  </pic:blipFill>
                  <pic:spPr>
                    <a:xfrm>
                      <a:off x="0" y="0"/>
                      <a:ext cx="4886361" cy="866781"/>
                    </a:xfrm>
                    <a:prstGeom prst="rect">
                      <a:avLst/>
                    </a:prstGeom>
                  </pic:spPr>
                </pic:pic>
              </a:graphicData>
            </a:graphic>
          </wp:inline>
        </w:drawing>
      </w:r>
    </w:p>
    <w:p w14:paraId="7E900307" w14:textId="77777777" w:rsidR="005419CD" w:rsidRDefault="005419CD" w:rsidP="005419CD">
      <w:pPr>
        <w:pStyle w:val="ListParagraph"/>
      </w:pPr>
    </w:p>
    <w:p w14:paraId="75D1265D" w14:textId="6E0E84B9" w:rsidR="005419CD" w:rsidRDefault="005419CD" w:rsidP="005419CD">
      <w:pPr>
        <w:pStyle w:val="ListParagraph"/>
        <w:numPr>
          <w:ilvl w:val="0"/>
          <w:numId w:val="3"/>
        </w:numPr>
      </w:pPr>
      <w:r>
        <w:t xml:space="preserve">‘Rail Partners’ retained a central role developing and enacting </w:t>
      </w:r>
      <w:r w:rsidRPr="00D46DDF">
        <w:rPr>
          <w:b/>
          <w:bCs/>
        </w:rPr>
        <w:t>‘passenger revenue growth strategies’</w:t>
      </w:r>
      <w:r>
        <w:t xml:space="preserve"> until </w:t>
      </w:r>
      <w:r w:rsidR="00BB6A5F">
        <w:t>this year</w:t>
      </w:r>
      <w:r>
        <w:t>.</w:t>
      </w:r>
      <w:r>
        <w:rPr>
          <w:rStyle w:val="FootnoteReference"/>
        </w:rPr>
        <w:footnoteReference w:id="19"/>
      </w:r>
      <w:r>
        <w:t xml:space="preserve"> Its role now continues under the remit of the Rail Delivery Group, dominated by the very same Owning Groups</w:t>
      </w:r>
      <w:r w:rsidR="003C4F5B">
        <w:t xml:space="preserve">, </w:t>
      </w:r>
      <w:r w:rsidR="00E36635">
        <w:t xml:space="preserve">and </w:t>
      </w:r>
      <w:r w:rsidR="003C4F5B">
        <w:t xml:space="preserve">working across all areas of rail policy and strategy </w:t>
      </w:r>
      <w:r w:rsidR="001510B1">
        <w:t>including commissioning major research and development projects</w:t>
      </w:r>
      <w:r w:rsidR="0011070C">
        <w:t xml:space="preserve"> for new technologies.</w:t>
      </w:r>
      <w:r w:rsidR="00B00B33">
        <w:rPr>
          <w:rStyle w:val="FootnoteReference"/>
        </w:rPr>
        <w:footnoteReference w:id="20"/>
      </w:r>
      <w:r w:rsidR="0011070C">
        <w:t xml:space="preserve"> The Rail Delivery Group is completely unregulated and not subject to </w:t>
      </w:r>
      <w:r w:rsidR="0086414B">
        <w:t>any transparency or equality duties</w:t>
      </w:r>
      <w:r w:rsidR="00B00B33">
        <w:t>.</w:t>
      </w:r>
    </w:p>
    <w:p w14:paraId="77B43D3A" w14:textId="77777777" w:rsidR="00C61906" w:rsidRDefault="00C61906" w:rsidP="00C61906">
      <w:pPr>
        <w:pStyle w:val="ListParagraph"/>
      </w:pPr>
    </w:p>
    <w:p w14:paraId="3894DAD4" w14:textId="5CBA8155" w:rsidR="005419CD" w:rsidRDefault="005419CD" w:rsidP="005419CD">
      <w:pPr>
        <w:pStyle w:val="ListParagraph"/>
        <w:numPr>
          <w:ilvl w:val="0"/>
          <w:numId w:val="3"/>
        </w:numPr>
      </w:pPr>
      <w:r>
        <w:t xml:space="preserve">The removal of the Rail Delivery Group (RDG) was thought such a priority for the previous government that it constituted GBRTT’s entire year-long workstream, </w:t>
      </w:r>
      <w:r w:rsidR="00873AAB">
        <w:t>2021 - 2022</w:t>
      </w:r>
      <w:r>
        <w:t>. However this transfer of RDG’s cross-sector functions into public control was suddenly aborted in June 2022.</w:t>
      </w:r>
      <w:r>
        <w:rPr>
          <w:rStyle w:val="FootnoteReference"/>
        </w:rPr>
        <w:footnoteReference w:id="21"/>
      </w:r>
      <w:r>
        <w:t xml:space="preserve"> Rail Delivery Group has stayed in place ever since and has only grown more dominant: acting as both gatekeeper and dominator of the entire ticket retail system; licensing third-party retailers like Trainline; and controlling publicly-funded research and development projects such as ‘ticketless’ GPS travel technologies; and network-wide </w:t>
      </w:r>
      <w:r>
        <w:lastRenderedPageBreak/>
        <w:t xml:space="preserve">assistance apps for disabled people. Rail Delivery Group is also responsible for supervising the staffing of ticket offices under the Ticketing and Settlement Agreement (TSA), </w:t>
      </w:r>
      <w:r w:rsidR="00D24176">
        <w:t>having co-ordinated</w:t>
      </w:r>
      <w:r>
        <w:t xml:space="preserve"> the nationwide closures attempt in 2023.</w:t>
      </w:r>
    </w:p>
    <w:p w14:paraId="227E0E55" w14:textId="77777777" w:rsidR="002E6B18" w:rsidRDefault="002E6B18" w:rsidP="002E6B18">
      <w:pPr>
        <w:pStyle w:val="ListParagraph"/>
      </w:pPr>
    </w:p>
    <w:p w14:paraId="2CA4CDDF" w14:textId="29E6B540" w:rsidR="005D5A98" w:rsidRDefault="001B767F" w:rsidP="00A23E92">
      <w:pPr>
        <w:pStyle w:val="ListParagraph"/>
        <w:numPr>
          <w:ilvl w:val="0"/>
          <w:numId w:val="3"/>
        </w:numPr>
      </w:pPr>
      <w:r>
        <w:t>The previous government found the</w:t>
      </w:r>
      <w:r w:rsidR="00397118">
        <w:t xml:space="preserve"> Rail Delivery Group to be one of the main reasons for ‘perverse incentives’, fragmentation and market failure of the railways, </w:t>
      </w:r>
      <w:r>
        <w:t>and i</w:t>
      </w:r>
      <w:r w:rsidR="006C2D55">
        <w:t>ts removal a priority for rail integration and the value of public money</w:t>
      </w:r>
      <w:r w:rsidR="006B591B">
        <w:t>.</w:t>
      </w:r>
      <w:r w:rsidR="001223C4">
        <w:rPr>
          <w:rStyle w:val="FootnoteReference"/>
        </w:rPr>
        <w:footnoteReference w:id="22"/>
      </w:r>
      <w:r w:rsidR="006B591B">
        <w:t xml:space="preserve"> </w:t>
      </w:r>
      <w:r w:rsidR="008A1E1E">
        <w:t xml:space="preserve">This remains an extremely difficult task for the </w:t>
      </w:r>
      <w:r w:rsidR="001C62FD">
        <w:t>current government, due to the</w:t>
      </w:r>
      <w:r w:rsidR="006B591B">
        <w:t xml:space="preserve"> restrictions caused by the Competition Act 1998, which prevents all but the most minimal collaboration between train companies</w:t>
      </w:r>
      <w:r w:rsidR="00EF1F81">
        <w:t>,</w:t>
      </w:r>
      <w:r w:rsidR="006B591B">
        <w:t xml:space="preserve"> and</w:t>
      </w:r>
      <w:r w:rsidR="00834D9C">
        <w:t xml:space="preserve"> means</w:t>
      </w:r>
      <w:r w:rsidR="00FC2A54">
        <w:t xml:space="preserve"> that</w:t>
      </w:r>
      <w:r w:rsidR="00834D9C">
        <w:t xml:space="preserve"> GBR </w:t>
      </w:r>
      <w:r w:rsidR="00FF255E">
        <w:t>could</w:t>
      </w:r>
      <w:r w:rsidR="00834D9C">
        <w:t xml:space="preserve"> be fragmented</w:t>
      </w:r>
      <w:r w:rsidR="00C175D0">
        <w:t xml:space="preserve"> into </w:t>
      </w:r>
      <w:r w:rsidR="00732E64">
        <w:t xml:space="preserve">at least </w:t>
      </w:r>
      <w:r w:rsidR="00C175D0">
        <w:t>three parts</w:t>
      </w:r>
      <w:r w:rsidR="00834D9C">
        <w:t xml:space="preserve"> from the start, </w:t>
      </w:r>
      <w:r w:rsidR="00EF1F81">
        <w:t>including</w:t>
      </w:r>
      <w:r w:rsidR="00834D9C">
        <w:t xml:space="preserve"> a separate retail arm and</w:t>
      </w:r>
      <w:r w:rsidR="001223C4">
        <w:t xml:space="preserve"> a separate retail licensing </w:t>
      </w:r>
      <w:r w:rsidR="00723D88">
        <w:t>arm</w:t>
      </w:r>
      <w:r w:rsidR="00206394">
        <w:t>,</w:t>
      </w:r>
      <w:r w:rsidR="00EF1F81">
        <w:t xml:space="preserve"> in addition to the main GBR organisation.</w:t>
      </w:r>
      <w:r w:rsidR="00206394">
        <w:rPr>
          <w:rStyle w:val="FootnoteReference"/>
        </w:rPr>
        <w:footnoteReference w:id="23"/>
      </w:r>
    </w:p>
    <w:p w14:paraId="4DA0ED91" w14:textId="77777777" w:rsidR="00271F7C" w:rsidRDefault="00271F7C" w:rsidP="00271F7C">
      <w:pPr>
        <w:pStyle w:val="ListParagraph"/>
        <w:pBdr>
          <w:bottom w:val="single" w:sz="6" w:space="1" w:color="auto"/>
        </w:pBdr>
      </w:pPr>
    </w:p>
    <w:p w14:paraId="12367130" w14:textId="798F4BC6" w:rsidR="00271F7C" w:rsidRDefault="00271F7C" w:rsidP="00271F7C">
      <w:r>
        <w:t>For further information, email: contact@abcommuters.com</w:t>
      </w:r>
    </w:p>
    <w:p w14:paraId="42434C7E" w14:textId="08707CC9" w:rsidR="00D43F63" w:rsidRDefault="00D43F63"/>
    <w:sectPr w:rsidR="00D43F6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82224" w14:textId="77777777" w:rsidR="00EB4339" w:rsidRDefault="00EB4339" w:rsidP="00DA40F1">
      <w:pPr>
        <w:spacing w:after="0" w:line="240" w:lineRule="auto"/>
      </w:pPr>
      <w:r>
        <w:separator/>
      </w:r>
    </w:p>
  </w:endnote>
  <w:endnote w:type="continuationSeparator" w:id="0">
    <w:p w14:paraId="79A18BC2" w14:textId="77777777" w:rsidR="00EB4339" w:rsidRDefault="00EB4339" w:rsidP="00DA4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531624" w14:textId="77777777" w:rsidR="00EB4339" w:rsidRDefault="00EB4339" w:rsidP="00DA40F1">
      <w:pPr>
        <w:spacing w:after="0" w:line="240" w:lineRule="auto"/>
      </w:pPr>
      <w:r>
        <w:separator/>
      </w:r>
    </w:p>
  </w:footnote>
  <w:footnote w:type="continuationSeparator" w:id="0">
    <w:p w14:paraId="227F008E" w14:textId="77777777" w:rsidR="00EB4339" w:rsidRDefault="00EB4339" w:rsidP="00DA40F1">
      <w:pPr>
        <w:spacing w:after="0" w:line="240" w:lineRule="auto"/>
      </w:pPr>
      <w:r>
        <w:continuationSeparator/>
      </w:r>
    </w:p>
  </w:footnote>
  <w:footnote w:id="1">
    <w:p w14:paraId="59445C7B" w14:textId="3AE586C4" w:rsidR="009B19A8" w:rsidRPr="003918CE" w:rsidRDefault="009B19A8" w:rsidP="009B19A8">
      <w:pPr>
        <w:pStyle w:val="FootnoteText"/>
        <w:rPr>
          <w:sz w:val="18"/>
          <w:szCs w:val="18"/>
        </w:rPr>
      </w:pPr>
      <w:r w:rsidRPr="003918CE">
        <w:rPr>
          <w:rStyle w:val="FootnoteReference"/>
          <w:sz w:val="18"/>
          <w:szCs w:val="18"/>
        </w:rPr>
        <w:footnoteRef/>
      </w:r>
      <w:r w:rsidRPr="003918CE">
        <w:rPr>
          <w:sz w:val="18"/>
          <w:szCs w:val="18"/>
        </w:rPr>
        <w:t xml:space="preserve"> DfT, A railway fit for the future </w:t>
      </w:r>
      <w:hyperlink r:id="rId1" w:history="1">
        <w:r w:rsidRPr="00F008E3">
          <w:rPr>
            <w:rStyle w:val="Hyperlink"/>
            <w:sz w:val="18"/>
            <w:szCs w:val="18"/>
          </w:rPr>
          <w:t>(Feb 2024)</w:t>
        </w:r>
        <w:r w:rsidR="00F008E3" w:rsidRPr="00F008E3">
          <w:rPr>
            <w:rStyle w:val="Hyperlink"/>
            <w:sz w:val="18"/>
            <w:szCs w:val="18"/>
          </w:rPr>
          <w:t>.</w:t>
        </w:r>
      </w:hyperlink>
    </w:p>
  </w:footnote>
  <w:footnote w:id="2">
    <w:p w14:paraId="7C55FA86" w14:textId="272A612E" w:rsidR="00DA40F1" w:rsidRPr="003918CE" w:rsidRDefault="00DA40F1">
      <w:pPr>
        <w:pStyle w:val="FootnoteText"/>
        <w:rPr>
          <w:sz w:val="18"/>
          <w:szCs w:val="18"/>
        </w:rPr>
      </w:pPr>
      <w:r w:rsidRPr="003918CE">
        <w:rPr>
          <w:rStyle w:val="FootnoteReference"/>
          <w:sz w:val="18"/>
          <w:szCs w:val="18"/>
        </w:rPr>
        <w:footnoteRef/>
      </w:r>
      <w:r w:rsidRPr="003918CE">
        <w:rPr>
          <w:sz w:val="18"/>
          <w:szCs w:val="18"/>
        </w:rPr>
        <w:t xml:space="preserve"> Th</w:t>
      </w:r>
      <w:r w:rsidR="00202979" w:rsidRPr="003918CE">
        <w:rPr>
          <w:sz w:val="18"/>
          <w:szCs w:val="18"/>
        </w:rPr>
        <w:t>e duty to ‘maximise social and economic value’</w:t>
      </w:r>
      <w:r w:rsidRPr="003918CE">
        <w:rPr>
          <w:sz w:val="18"/>
          <w:szCs w:val="18"/>
        </w:rPr>
        <w:t xml:space="preserve"> was the original purpose of the</w:t>
      </w:r>
      <w:r w:rsidR="00202979" w:rsidRPr="003918CE">
        <w:rPr>
          <w:sz w:val="18"/>
          <w:szCs w:val="18"/>
        </w:rPr>
        <w:t xml:space="preserve"> previous government’s</w:t>
      </w:r>
      <w:r w:rsidRPr="003918CE">
        <w:rPr>
          <w:sz w:val="18"/>
          <w:szCs w:val="18"/>
        </w:rPr>
        <w:t xml:space="preserve"> 2021 White Paper, </w:t>
      </w:r>
      <w:r w:rsidR="00202979" w:rsidRPr="003918CE">
        <w:rPr>
          <w:sz w:val="18"/>
          <w:szCs w:val="18"/>
        </w:rPr>
        <w:t>it’s</w:t>
      </w:r>
      <w:r w:rsidRPr="003918CE">
        <w:rPr>
          <w:sz w:val="18"/>
          <w:szCs w:val="18"/>
        </w:rPr>
        <w:t xml:space="preserve"> 2022 Plan for Rail, and</w:t>
      </w:r>
      <w:r w:rsidR="00191781">
        <w:rPr>
          <w:sz w:val="18"/>
          <w:szCs w:val="18"/>
        </w:rPr>
        <w:t xml:space="preserve"> until</w:t>
      </w:r>
      <w:r w:rsidRPr="003918CE">
        <w:rPr>
          <w:sz w:val="18"/>
          <w:szCs w:val="18"/>
        </w:rPr>
        <w:t xml:space="preserve"> </w:t>
      </w:r>
      <w:r w:rsidR="00202979" w:rsidRPr="003918CE">
        <w:rPr>
          <w:sz w:val="18"/>
          <w:szCs w:val="18"/>
        </w:rPr>
        <w:t xml:space="preserve">its </w:t>
      </w:r>
      <w:r w:rsidRPr="003918CE">
        <w:rPr>
          <w:sz w:val="18"/>
          <w:szCs w:val="18"/>
        </w:rPr>
        <w:t>draft rail reform bill of Feb 2024</w:t>
      </w:r>
      <w:r w:rsidR="00001C5D" w:rsidRPr="003918CE">
        <w:rPr>
          <w:sz w:val="18"/>
          <w:szCs w:val="18"/>
        </w:rPr>
        <w:t>.</w:t>
      </w:r>
    </w:p>
  </w:footnote>
  <w:footnote w:id="3">
    <w:p w14:paraId="27D7C702" w14:textId="0864BA19" w:rsidR="000476CB" w:rsidRPr="003918CE" w:rsidRDefault="000476CB">
      <w:pPr>
        <w:pStyle w:val="FootnoteText"/>
        <w:rPr>
          <w:sz w:val="18"/>
          <w:szCs w:val="18"/>
        </w:rPr>
      </w:pPr>
      <w:r w:rsidRPr="003918CE">
        <w:rPr>
          <w:rStyle w:val="FootnoteReference"/>
          <w:sz w:val="18"/>
          <w:szCs w:val="18"/>
        </w:rPr>
        <w:footnoteRef/>
      </w:r>
      <w:r w:rsidRPr="003918CE">
        <w:rPr>
          <w:sz w:val="18"/>
          <w:szCs w:val="18"/>
        </w:rPr>
        <w:t xml:space="preserve"> DfT, A railway fit for the future (Feb 2024), </w:t>
      </w:r>
      <w:r w:rsidR="00320243" w:rsidRPr="003918CE">
        <w:rPr>
          <w:sz w:val="18"/>
          <w:szCs w:val="18"/>
        </w:rPr>
        <w:t>17-18.</w:t>
      </w:r>
    </w:p>
  </w:footnote>
  <w:footnote w:id="4">
    <w:p w14:paraId="042274A2" w14:textId="1AB73A31" w:rsidR="00DA40F1" w:rsidRDefault="00DA40F1">
      <w:pPr>
        <w:pStyle w:val="FootnoteText"/>
      </w:pPr>
      <w:r w:rsidRPr="003918CE">
        <w:rPr>
          <w:rStyle w:val="FootnoteReference"/>
          <w:sz w:val="18"/>
          <w:szCs w:val="18"/>
        </w:rPr>
        <w:footnoteRef/>
      </w:r>
      <w:r w:rsidRPr="003918CE">
        <w:rPr>
          <w:sz w:val="18"/>
          <w:szCs w:val="18"/>
        </w:rPr>
        <w:t xml:space="preserve"> Association of British Commuters</w:t>
      </w:r>
      <w:r w:rsidR="00FD7B71" w:rsidRPr="003918CE">
        <w:rPr>
          <w:sz w:val="18"/>
          <w:szCs w:val="18"/>
        </w:rPr>
        <w:t xml:space="preserve">, ‘Dept for Transport drops main public interest duties from GBR’ </w:t>
      </w:r>
      <w:hyperlink r:id="rId2" w:history="1">
        <w:r w:rsidR="00FD7B71" w:rsidRPr="00E16D32">
          <w:rPr>
            <w:rStyle w:val="Hyperlink"/>
            <w:sz w:val="18"/>
            <w:szCs w:val="18"/>
          </w:rPr>
          <w:t>(24 Feb 2025)</w:t>
        </w:r>
        <w:r w:rsidR="00E16D32" w:rsidRPr="00E16D32">
          <w:rPr>
            <w:rStyle w:val="Hyperlink"/>
            <w:sz w:val="18"/>
            <w:szCs w:val="18"/>
          </w:rPr>
          <w:t>;</w:t>
        </w:r>
      </w:hyperlink>
      <w:r w:rsidR="00047471" w:rsidRPr="003918CE">
        <w:rPr>
          <w:sz w:val="18"/>
          <w:szCs w:val="18"/>
        </w:rPr>
        <w:t xml:space="preserve"> </w:t>
      </w:r>
      <w:r w:rsidR="00345B30" w:rsidRPr="003918CE">
        <w:rPr>
          <w:sz w:val="18"/>
          <w:szCs w:val="18"/>
        </w:rPr>
        <w:t xml:space="preserve">Transport Committee, Letter to Rail Minister </w:t>
      </w:r>
      <w:hyperlink r:id="rId3" w:history="1">
        <w:r w:rsidR="00E16D32">
          <w:rPr>
            <w:rStyle w:val="Hyperlink"/>
            <w:sz w:val="18"/>
            <w:szCs w:val="18"/>
          </w:rPr>
          <w:t>(12 March 2025);</w:t>
        </w:r>
      </w:hyperlink>
      <w:r w:rsidR="00E16D32">
        <w:rPr>
          <w:sz w:val="18"/>
          <w:szCs w:val="18"/>
        </w:rPr>
        <w:t xml:space="preserve"> Transport Commit</w:t>
      </w:r>
      <w:r w:rsidR="00F008E3">
        <w:rPr>
          <w:sz w:val="18"/>
          <w:szCs w:val="18"/>
        </w:rPr>
        <w:t xml:space="preserve">tee, Access denied: MPs call for overhaul of laws, strategy and attitudes to get transport working for disabled people </w:t>
      </w:r>
      <w:hyperlink r:id="rId4" w:history="1">
        <w:r w:rsidR="00F008E3" w:rsidRPr="00F008E3">
          <w:rPr>
            <w:rStyle w:val="Hyperlink"/>
            <w:sz w:val="18"/>
            <w:szCs w:val="18"/>
          </w:rPr>
          <w:t>(20 March 2025).</w:t>
        </w:r>
      </w:hyperlink>
    </w:p>
  </w:footnote>
  <w:footnote w:id="5">
    <w:p w14:paraId="364F4DC7" w14:textId="31F548C5" w:rsidR="00A77941" w:rsidRDefault="00A77941">
      <w:pPr>
        <w:pStyle w:val="FootnoteText"/>
      </w:pPr>
      <w:r>
        <w:rPr>
          <w:rStyle w:val="FootnoteReference"/>
        </w:rPr>
        <w:footnoteRef/>
      </w:r>
      <w:r>
        <w:t xml:space="preserve"> </w:t>
      </w:r>
      <w:r w:rsidR="00936E55" w:rsidRPr="00397A14">
        <w:rPr>
          <w:sz w:val="18"/>
          <w:szCs w:val="18"/>
        </w:rPr>
        <w:t xml:space="preserve">The Sunday Times, ‘Private rail firms’ ‘loophole’ could cost taxpayers billions </w:t>
      </w:r>
      <w:hyperlink r:id="rId5" w:history="1">
        <w:r w:rsidR="00936E55" w:rsidRPr="00F008E3">
          <w:rPr>
            <w:rStyle w:val="Hyperlink"/>
            <w:sz w:val="18"/>
            <w:szCs w:val="18"/>
          </w:rPr>
          <w:t>(4 May 2025)</w:t>
        </w:r>
        <w:r w:rsidR="00F008E3" w:rsidRPr="00F008E3">
          <w:rPr>
            <w:rStyle w:val="Hyperlink"/>
            <w:sz w:val="18"/>
            <w:szCs w:val="18"/>
          </w:rPr>
          <w:t>.</w:t>
        </w:r>
      </w:hyperlink>
    </w:p>
  </w:footnote>
  <w:footnote w:id="6">
    <w:p w14:paraId="62F06176" w14:textId="4A596AC7" w:rsidR="00026F3F" w:rsidRPr="00206394" w:rsidRDefault="00026F3F">
      <w:pPr>
        <w:pStyle w:val="FootnoteText"/>
        <w:rPr>
          <w:sz w:val="18"/>
          <w:szCs w:val="18"/>
        </w:rPr>
      </w:pPr>
      <w:r w:rsidRPr="00206394">
        <w:rPr>
          <w:rStyle w:val="FootnoteReference"/>
          <w:sz w:val="18"/>
          <w:szCs w:val="18"/>
        </w:rPr>
        <w:footnoteRef/>
      </w:r>
      <w:r w:rsidRPr="00206394">
        <w:rPr>
          <w:sz w:val="18"/>
          <w:szCs w:val="18"/>
        </w:rPr>
        <w:t xml:space="preserve"> </w:t>
      </w:r>
      <w:r w:rsidR="00483532" w:rsidRPr="00392346">
        <w:rPr>
          <w:sz w:val="18"/>
          <w:szCs w:val="18"/>
        </w:rPr>
        <w:t>Internal Review</w:t>
      </w:r>
      <w:r w:rsidR="00483532" w:rsidRPr="00206394">
        <w:rPr>
          <w:sz w:val="18"/>
          <w:szCs w:val="18"/>
        </w:rPr>
        <w:t xml:space="preserve">: </w:t>
      </w:r>
      <w:r w:rsidR="00483532" w:rsidRPr="00392346">
        <w:rPr>
          <w:sz w:val="18"/>
          <w:szCs w:val="18"/>
        </w:rPr>
        <w:t>FOI2025/00071</w:t>
      </w:r>
      <w:r w:rsidR="00483532" w:rsidRPr="00206394">
        <w:rPr>
          <w:sz w:val="18"/>
          <w:szCs w:val="18"/>
        </w:rPr>
        <w:t xml:space="preserve"> (27 Feb 2025) </w:t>
      </w:r>
      <w:r w:rsidR="00483532" w:rsidRPr="00206394">
        <w:rPr>
          <w:i/>
          <w:iCs/>
          <w:sz w:val="18"/>
          <w:szCs w:val="18"/>
        </w:rPr>
        <w:t>“at the time of writing, GBRTT still exists as an arm’s-length body of government and continues to provide advice to the government on GBR design…”</w:t>
      </w:r>
      <w:r w:rsidR="00483532" w:rsidRPr="00206394">
        <w:rPr>
          <w:sz w:val="18"/>
          <w:szCs w:val="18"/>
        </w:rPr>
        <w:t xml:space="preserve"> Four reports on organisational design were vetoed for release by a DfT minister, dated: Nov 2022, Feb 2023, Nov 2024, Dec 2024. (pages 5-6).</w:t>
      </w:r>
    </w:p>
  </w:footnote>
  <w:footnote w:id="7">
    <w:p w14:paraId="2B028FE3" w14:textId="4588725D" w:rsidR="0080499B" w:rsidRPr="00206394" w:rsidRDefault="0080499B">
      <w:pPr>
        <w:pStyle w:val="FootnoteText"/>
        <w:rPr>
          <w:sz w:val="18"/>
          <w:szCs w:val="18"/>
        </w:rPr>
      </w:pPr>
      <w:r w:rsidRPr="00206394">
        <w:rPr>
          <w:rStyle w:val="FootnoteReference"/>
          <w:sz w:val="18"/>
          <w:szCs w:val="18"/>
        </w:rPr>
        <w:footnoteRef/>
      </w:r>
      <w:r w:rsidRPr="00206394">
        <w:rPr>
          <w:sz w:val="18"/>
          <w:szCs w:val="18"/>
        </w:rPr>
        <w:t xml:space="preserve"> </w:t>
      </w:r>
      <w:r w:rsidR="00442A90" w:rsidRPr="00206394">
        <w:rPr>
          <w:sz w:val="18"/>
          <w:szCs w:val="18"/>
        </w:rPr>
        <w:t>Rail Partners-GBRTT official advice to ministers included:</w:t>
      </w:r>
      <w:r w:rsidR="005C7E5E" w:rsidRPr="00206394">
        <w:rPr>
          <w:sz w:val="18"/>
          <w:szCs w:val="18"/>
        </w:rPr>
        <w:t xml:space="preserve"> ‘The </w:t>
      </w:r>
      <w:r w:rsidR="006B1BFD" w:rsidRPr="00206394">
        <w:rPr>
          <w:sz w:val="18"/>
          <w:szCs w:val="18"/>
        </w:rPr>
        <w:t>sector</w:t>
      </w:r>
      <w:r w:rsidR="005C7E5E" w:rsidRPr="00206394">
        <w:rPr>
          <w:sz w:val="18"/>
          <w:szCs w:val="18"/>
        </w:rPr>
        <w:t xml:space="preserve"> coming together to agree the next steps </w:t>
      </w:r>
      <w:r w:rsidR="00177412" w:rsidRPr="00206394">
        <w:rPr>
          <w:sz w:val="18"/>
          <w:szCs w:val="18"/>
        </w:rPr>
        <w:t>of</w:t>
      </w:r>
      <w:r w:rsidR="005C7E5E" w:rsidRPr="00206394">
        <w:rPr>
          <w:sz w:val="18"/>
          <w:szCs w:val="18"/>
        </w:rPr>
        <w:t xml:space="preserve"> rail reform (</w:t>
      </w:r>
      <w:r w:rsidR="00177412" w:rsidRPr="00206394">
        <w:rPr>
          <w:sz w:val="18"/>
          <w:szCs w:val="18"/>
        </w:rPr>
        <w:t xml:space="preserve">Dec </w:t>
      </w:r>
      <w:r w:rsidR="005C7E5E" w:rsidRPr="00206394">
        <w:rPr>
          <w:sz w:val="18"/>
          <w:szCs w:val="18"/>
        </w:rPr>
        <w:t>2022); ‘</w:t>
      </w:r>
      <w:r w:rsidR="00177412" w:rsidRPr="00206394">
        <w:rPr>
          <w:sz w:val="18"/>
          <w:szCs w:val="18"/>
        </w:rPr>
        <w:t>An industry</w:t>
      </w:r>
      <w:r w:rsidR="005C7E5E" w:rsidRPr="00206394">
        <w:rPr>
          <w:sz w:val="18"/>
          <w:szCs w:val="18"/>
        </w:rPr>
        <w:t xml:space="preserve"> view of a streamlined </w:t>
      </w:r>
      <w:r w:rsidR="00177412" w:rsidRPr="00206394">
        <w:rPr>
          <w:sz w:val="18"/>
          <w:szCs w:val="18"/>
        </w:rPr>
        <w:t>GBR</w:t>
      </w:r>
      <w:r w:rsidR="005C7E5E" w:rsidRPr="00206394">
        <w:rPr>
          <w:sz w:val="18"/>
          <w:szCs w:val="18"/>
        </w:rPr>
        <w:t>’ (</w:t>
      </w:r>
      <w:r w:rsidR="00D021BB" w:rsidRPr="00206394">
        <w:rPr>
          <w:sz w:val="18"/>
          <w:szCs w:val="18"/>
        </w:rPr>
        <w:t xml:space="preserve">May </w:t>
      </w:r>
      <w:r w:rsidR="005C7E5E" w:rsidRPr="00206394">
        <w:rPr>
          <w:sz w:val="18"/>
          <w:szCs w:val="18"/>
        </w:rPr>
        <w:t>2023) ‘</w:t>
      </w:r>
      <w:r w:rsidR="00177412" w:rsidRPr="00206394">
        <w:rPr>
          <w:sz w:val="18"/>
          <w:szCs w:val="18"/>
        </w:rPr>
        <w:t xml:space="preserve">A statement of intent for rail freight reform’ </w:t>
      </w:r>
      <w:r w:rsidR="005C7E5E" w:rsidRPr="00206394">
        <w:rPr>
          <w:sz w:val="18"/>
          <w:szCs w:val="18"/>
        </w:rPr>
        <w:t>(</w:t>
      </w:r>
      <w:r w:rsidR="00D021BB" w:rsidRPr="00206394">
        <w:rPr>
          <w:sz w:val="18"/>
          <w:szCs w:val="18"/>
        </w:rPr>
        <w:t xml:space="preserve">Sep </w:t>
      </w:r>
      <w:r w:rsidR="005C7E5E" w:rsidRPr="00206394">
        <w:rPr>
          <w:sz w:val="18"/>
          <w:szCs w:val="18"/>
        </w:rPr>
        <w:t>2023). Available</w:t>
      </w:r>
      <w:r w:rsidR="007F73E0" w:rsidRPr="00206394">
        <w:rPr>
          <w:sz w:val="18"/>
          <w:szCs w:val="18"/>
        </w:rPr>
        <w:t xml:space="preserve"> to download via zip folder </w:t>
      </w:r>
      <w:hyperlink r:id="rId6" w:history="1">
        <w:r w:rsidR="007F73E0" w:rsidRPr="00641917">
          <w:rPr>
            <w:rStyle w:val="Hyperlink"/>
            <w:sz w:val="18"/>
            <w:szCs w:val="18"/>
          </w:rPr>
          <w:t>here</w:t>
        </w:r>
        <w:r w:rsidR="00D021BB" w:rsidRPr="00641917">
          <w:rPr>
            <w:rStyle w:val="Hyperlink"/>
            <w:sz w:val="18"/>
            <w:szCs w:val="18"/>
          </w:rPr>
          <w:t>.</w:t>
        </w:r>
      </w:hyperlink>
    </w:p>
  </w:footnote>
  <w:footnote w:id="8">
    <w:p w14:paraId="1271861C" w14:textId="4A27BF38" w:rsidR="0080499B" w:rsidRPr="00206394" w:rsidRDefault="0080499B">
      <w:pPr>
        <w:pStyle w:val="FootnoteText"/>
        <w:rPr>
          <w:sz w:val="18"/>
          <w:szCs w:val="18"/>
        </w:rPr>
      </w:pPr>
      <w:r w:rsidRPr="00206394">
        <w:rPr>
          <w:rStyle w:val="FootnoteReference"/>
          <w:sz w:val="18"/>
          <w:szCs w:val="18"/>
        </w:rPr>
        <w:footnoteRef/>
      </w:r>
      <w:r w:rsidRPr="00206394">
        <w:rPr>
          <w:sz w:val="18"/>
          <w:szCs w:val="18"/>
        </w:rPr>
        <w:t xml:space="preserve"> </w:t>
      </w:r>
      <w:r w:rsidR="003C28D9" w:rsidRPr="00206394">
        <w:rPr>
          <w:sz w:val="18"/>
          <w:szCs w:val="18"/>
        </w:rPr>
        <w:t xml:space="preserve">GBRTT, </w:t>
      </w:r>
      <w:r w:rsidR="00144B5C" w:rsidRPr="00206394">
        <w:rPr>
          <w:sz w:val="18"/>
          <w:szCs w:val="18"/>
        </w:rPr>
        <w:t>FOI2024/01962 (15 Jan 2025).</w:t>
      </w:r>
    </w:p>
  </w:footnote>
  <w:footnote w:id="9">
    <w:p w14:paraId="52867991" w14:textId="107B2DE2" w:rsidR="0080499B" w:rsidRPr="00206394" w:rsidRDefault="0080499B">
      <w:pPr>
        <w:pStyle w:val="FootnoteText"/>
        <w:rPr>
          <w:sz w:val="18"/>
          <w:szCs w:val="18"/>
        </w:rPr>
      </w:pPr>
      <w:r w:rsidRPr="00206394">
        <w:rPr>
          <w:rStyle w:val="FootnoteReference"/>
          <w:sz w:val="18"/>
          <w:szCs w:val="18"/>
        </w:rPr>
        <w:footnoteRef/>
      </w:r>
      <w:r w:rsidR="003C28D9" w:rsidRPr="00206394">
        <w:rPr>
          <w:sz w:val="18"/>
          <w:szCs w:val="18"/>
        </w:rPr>
        <w:t xml:space="preserve"> DfT,</w:t>
      </w:r>
      <w:r w:rsidRPr="00206394">
        <w:rPr>
          <w:sz w:val="18"/>
          <w:szCs w:val="18"/>
        </w:rPr>
        <w:t xml:space="preserve"> </w:t>
      </w:r>
      <w:r w:rsidR="00A71387" w:rsidRPr="00206394">
        <w:rPr>
          <w:sz w:val="18"/>
          <w:szCs w:val="18"/>
        </w:rPr>
        <w:t>FOI-000302</w:t>
      </w:r>
      <w:r w:rsidR="003C28D9" w:rsidRPr="00206394">
        <w:rPr>
          <w:sz w:val="18"/>
          <w:szCs w:val="18"/>
        </w:rPr>
        <w:t>02 (13 Feb 2025).</w:t>
      </w:r>
    </w:p>
  </w:footnote>
  <w:footnote w:id="10">
    <w:p w14:paraId="5FEF743E" w14:textId="596E8117" w:rsidR="0097357B" w:rsidRPr="00206394" w:rsidRDefault="0097357B" w:rsidP="0097357B">
      <w:pPr>
        <w:pStyle w:val="FootnoteText"/>
        <w:rPr>
          <w:sz w:val="18"/>
          <w:szCs w:val="18"/>
        </w:rPr>
      </w:pPr>
      <w:r w:rsidRPr="00206394">
        <w:rPr>
          <w:rStyle w:val="FootnoteReference"/>
          <w:sz w:val="18"/>
          <w:szCs w:val="18"/>
        </w:rPr>
        <w:footnoteRef/>
      </w:r>
      <w:r w:rsidRPr="00206394">
        <w:rPr>
          <w:sz w:val="18"/>
          <w:szCs w:val="18"/>
        </w:rPr>
        <w:t xml:space="preserve"> </w:t>
      </w:r>
      <w:r w:rsidR="00C56C68" w:rsidRPr="00206394">
        <w:rPr>
          <w:sz w:val="18"/>
          <w:szCs w:val="18"/>
        </w:rPr>
        <w:t xml:space="preserve">The Times, ‘No minutes from ‘robust’ meetings to create Great British Railways’ </w:t>
      </w:r>
      <w:hyperlink r:id="rId7" w:history="1">
        <w:r w:rsidR="00C56C68" w:rsidRPr="00206394">
          <w:rPr>
            <w:rStyle w:val="Hyperlink"/>
            <w:sz w:val="18"/>
            <w:szCs w:val="18"/>
          </w:rPr>
          <w:t>(26 Jan 2025)</w:t>
        </w:r>
        <w:r w:rsidR="007F0AB8" w:rsidRPr="00206394">
          <w:rPr>
            <w:rStyle w:val="Hyperlink"/>
            <w:sz w:val="18"/>
            <w:szCs w:val="18"/>
          </w:rPr>
          <w:t>;</w:t>
        </w:r>
      </w:hyperlink>
      <w:r w:rsidR="00C56C68" w:rsidRPr="00206394">
        <w:rPr>
          <w:sz w:val="18"/>
          <w:szCs w:val="18"/>
        </w:rPr>
        <w:t xml:space="preserve"> Transport Committee</w:t>
      </w:r>
      <w:r w:rsidR="00567947" w:rsidRPr="00206394">
        <w:rPr>
          <w:sz w:val="18"/>
          <w:szCs w:val="18"/>
        </w:rPr>
        <w:t>,</w:t>
      </w:r>
      <w:r w:rsidR="00C56C68" w:rsidRPr="00206394">
        <w:rPr>
          <w:sz w:val="18"/>
          <w:szCs w:val="18"/>
        </w:rPr>
        <w:t xml:space="preserve"> </w:t>
      </w:r>
      <w:r w:rsidR="00567947" w:rsidRPr="00206394">
        <w:rPr>
          <w:sz w:val="18"/>
          <w:szCs w:val="18"/>
        </w:rPr>
        <w:t>O</w:t>
      </w:r>
      <w:r w:rsidR="00C56C68" w:rsidRPr="00206394">
        <w:rPr>
          <w:sz w:val="18"/>
          <w:szCs w:val="18"/>
        </w:rPr>
        <w:t>ral evidence</w:t>
      </w:r>
      <w:r w:rsidR="00567947" w:rsidRPr="00206394">
        <w:rPr>
          <w:sz w:val="18"/>
          <w:szCs w:val="18"/>
        </w:rPr>
        <w:t>: Shadow Great British Railways, HC 554</w:t>
      </w:r>
      <w:hyperlink r:id="rId8" w:history="1">
        <w:r w:rsidR="00567947" w:rsidRPr="00206394">
          <w:rPr>
            <w:rStyle w:val="Hyperlink"/>
            <w:sz w:val="18"/>
            <w:szCs w:val="18"/>
          </w:rPr>
          <w:t xml:space="preserve"> </w:t>
        </w:r>
        <w:r w:rsidR="00135BEB" w:rsidRPr="00206394">
          <w:rPr>
            <w:rStyle w:val="Hyperlink"/>
            <w:sz w:val="18"/>
            <w:szCs w:val="18"/>
          </w:rPr>
          <w:t>(22 Jan 2025)</w:t>
        </w:r>
      </w:hyperlink>
      <w:r w:rsidR="00135BEB" w:rsidRPr="00206394">
        <w:rPr>
          <w:sz w:val="18"/>
          <w:szCs w:val="18"/>
        </w:rPr>
        <w:t xml:space="preserve"> </w:t>
      </w:r>
    </w:p>
  </w:footnote>
  <w:footnote w:id="11">
    <w:p w14:paraId="66232B9C" w14:textId="23AE679B" w:rsidR="004213DC" w:rsidRPr="00206394" w:rsidRDefault="004213DC">
      <w:pPr>
        <w:pStyle w:val="FootnoteText"/>
        <w:rPr>
          <w:sz w:val="18"/>
          <w:szCs w:val="18"/>
        </w:rPr>
      </w:pPr>
      <w:r w:rsidRPr="00206394">
        <w:rPr>
          <w:rStyle w:val="FootnoteReference"/>
          <w:sz w:val="18"/>
          <w:szCs w:val="18"/>
        </w:rPr>
        <w:footnoteRef/>
      </w:r>
      <w:r w:rsidRPr="00206394">
        <w:rPr>
          <w:sz w:val="18"/>
          <w:szCs w:val="18"/>
        </w:rPr>
        <w:t xml:space="preserve"> </w:t>
      </w:r>
      <w:r w:rsidR="008437C9" w:rsidRPr="00206394">
        <w:rPr>
          <w:sz w:val="18"/>
          <w:szCs w:val="18"/>
        </w:rPr>
        <w:t>ORR, response to rail reform consultation</w:t>
      </w:r>
      <w:hyperlink r:id="rId9" w:history="1">
        <w:r w:rsidR="00CD5EAB" w:rsidRPr="00206394">
          <w:rPr>
            <w:rStyle w:val="Hyperlink"/>
            <w:sz w:val="18"/>
            <w:szCs w:val="18"/>
          </w:rPr>
          <w:t xml:space="preserve"> (July 2022); </w:t>
        </w:r>
      </w:hyperlink>
      <w:r w:rsidR="00CD5EAB" w:rsidRPr="00206394">
        <w:rPr>
          <w:sz w:val="18"/>
          <w:szCs w:val="18"/>
        </w:rPr>
        <w:t>CMA response to rail reform consultation</w:t>
      </w:r>
      <w:hyperlink r:id="rId10" w:history="1">
        <w:r w:rsidR="00A72C1D" w:rsidRPr="00206394">
          <w:rPr>
            <w:rStyle w:val="Hyperlink"/>
            <w:sz w:val="18"/>
            <w:szCs w:val="18"/>
          </w:rPr>
          <w:t xml:space="preserve"> (Aug 2022); </w:t>
        </w:r>
      </w:hyperlink>
      <w:r w:rsidR="008437C9" w:rsidRPr="00206394">
        <w:rPr>
          <w:sz w:val="18"/>
          <w:szCs w:val="18"/>
        </w:rPr>
        <w:t xml:space="preserve">CMA response to GBR consultation </w:t>
      </w:r>
      <w:hyperlink r:id="rId11" w:history="1">
        <w:r w:rsidR="008437C9" w:rsidRPr="00206394">
          <w:rPr>
            <w:rStyle w:val="Hyperlink"/>
            <w:sz w:val="18"/>
            <w:szCs w:val="18"/>
          </w:rPr>
          <w:t>(April 2025)</w:t>
        </w:r>
      </w:hyperlink>
      <w:r w:rsidR="008437C9" w:rsidRPr="00206394">
        <w:rPr>
          <w:sz w:val="18"/>
          <w:szCs w:val="18"/>
        </w:rPr>
        <w:t xml:space="preserve"> </w:t>
      </w:r>
    </w:p>
  </w:footnote>
  <w:footnote w:id="12">
    <w:p w14:paraId="68F801AA" w14:textId="59A7CB94" w:rsidR="00105901" w:rsidRPr="00206394" w:rsidRDefault="00105901">
      <w:pPr>
        <w:pStyle w:val="FootnoteText"/>
        <w:rPr>
          <w:sz w:val="18"/>
          <w:szCs w:val="18"/>
        </w:rPr>
      </w:pPr>
      <w:r w:rsidRPr="00206394">
        <w:rPr>
          <w:rStyle w:val="FootnoteReference"/>
          <w:sz w:val="18"/>
          <w:szCs w:val="18"/>
        </w:rPr>
        <w:footnoteRef/>
      </w:r>
      <w:r w:rsidRPr="00206394">
        <w:rPr>
          <w:sz w:val="18"/>
          <w:szCs w:val="18"/>
        </w:rPr>
        <w:t xml:space="preserve"> </w:t>
      </w:r>
      <w:r w:rsidR="00410EE3" w:rsidRPr="00206394">
        <w:rPr>
          <w:sz w:val="18"/>
          <w:szCs w:val="18"/>
        </w:rPr>
        <w:t>Including</w:t>
      </w:r>
      <w:r w:rsidR="00832270" w:rsidRPr="00206394">
        <w:rPr>
          <w:sz w:val="18"/>
          <w:szCs w:val="18"/>
        </w:rPr>
        <w:t xml:space="preserve"> repeal</w:t>
      </w:r>
      <w:r w:rsidR="00FA7EE0" w:rsidRPr="00206394">
        <w:rPr>
          <w:sz w:val="18"/>
          <w:szCs w:val="18"/>
        </w:rPr>
        <w:t>ing</w:t>
      </w:r>
      <w:r w:rsidR="00DB0B7C" w:rsidRPr="00206394">
        <w:rPr>
          <w:sz w:val="18"/>
          <w:szCs w:val="18"/>
        </w:rPr>
        <w:t xml:space="preserve"> the</w:t>
      </w:r>
      <w:r w:rsidR="00832270" w:rsidRPr="00206394">
        <w:rPr>
          <w:sz w:val="18"/>
          <w:szCs w:val="18"/>
        </w:rPr>
        <w:t xml:space="preserve"> Competition Act 1998 in rail legislation</w:t>
      </w:r>
      <w:r w:rsidR="006611B4" w:rsidRPr="00206394">
        <w:rPr>
          <w:sz w:val="18"/>
          <w:szCs w:val="18"/>
        </w:rPr>
        <w:t xml:space="preserve">, </w:t>
      </w:r>
      <w:r w:rsidR="00FA7EE0" w:rsidRPr="00206394">
        <w:rPr>
          <w:sz w:val="18"/>
          <w:szCs w:val="18"/>
        </w:rPr>
        <w:t>removing</w:t>
      </w:r>
      <w:r w:rsidR="006611B4" w:rsidRPr="00206394">
        <w:rPr>
          <w:sz w:val="18"/>
          <w:szCs w:val="18"/>
        </w:rPr>
        <w:t xml:space="preserve"> the role of the Competition and Markets Authority (CMA), and </w:t>
      </w:r>
      <w:r w:rsidR="00FA7EE0" w:rsidRPr="00206394">
        <w:rPr>
          <w:sz w:val="18"/>
          <w:szCs w:val="18"/>
        </w:rPr>
        <w:t>removing</w:t>
      </w:r>
      <w:r w:rsidR="006611B4" w:rsidRPr="00206394">
        <w:rPr>
          <w:sz w:val="18"/>
          <w:szCs w:val="18"/>
        </w:rPr>
        <w:t xml:space="preserve"> the Office of Rail and Road</w:t>
      </w:r>
      <w:r w:rsidR="00644578" w:rsidRPr="00206394">
        <w:rPr>
          <w:sz w:val="18"/>
          <w:szCs w:val="18"/>
        </w:rPr>
        <w:t>’s competition duties.</w:t>
      </w:r>
    </w:p>
  </w:footnote>
  <w:footnote w:id="13">
    <w:p w14:paraId="637E8888" w14:textId="488103BD" w:rsidR="008D5948" w:rsidRPr="00206394" w:rsidRDefault="008D5948">
      <w:pPr>
        <w:pStyle w:val="FootnoteText"/>
        <w:rPr>
          <w:sz w:val="18"/>
          <w:szCs w:val="18"/>
        </w:rPr>
      </w:pPr>
      <w:r w:rsidRPr="00206394">
        <w:rPr>
          <w:rStyle w:val="FootnoteReference"/>
          <w:sz w:val="18"/>
          <w:szCs w:val="18"/>
        </w:rPr>
        <w:footnoteRef/>
      </w:r>
      <w:r w:rsidRPr="00206394">
        <w:rPr>
          <w:sz w:val="18"/>
          <w:szCs w:val="18"/>
        </w:rPr>
        <w:t xml:space="preserve"> </w:t>
      </w:r>
      <w:r w:rsidR="00EB5C3F" w:rsidRPr="00206394">
        <w:rPr>
          <w:sz w:val="18"/>
          <w:szCs w:val="18"/>
        </w:rPr>
        <w:t xml:space="preserve">DfT, Plan for Rail consultation outcome </w:t>
      </w:r>
      <w:hyperlink r:id="rId12" w:history="1">
        <w:r w:rsidR="00EB5C3F" w:rsidRPr="00206394">
          <w:rPr>
            <w:rStyle w:val="Hyperlink"/>
            <w:sz w:val="18"/>
            <w:szCs w:val="18"/>
          </w:rPr>
          <w:t>(Feb 2024),</w:t>
        </w:r>
      </w:hyperlink>
      <w:r w:rsidR="00EB5C3F" w:rsidRPr="00206394">
        <w:rPr>
          <w:sz w:val="18"/>
          <w:szCs w:val="18"/>
        </w:rPr>
        <w:t xml:space="preserve"> 57</w:t>
      </w:r>
      <w:r w:rsidR="00B16C9C">
        <w:rPr>
          <w:sz w:val="18"/>
          <w:szCs w:val="18"/>
        </w:rPr>
        <w:t>-59</w:t>
      </w:r>
      <w:r w:rsidR="006A453F" w:rsidRPr="00206394">
        <w:rPr>
          <w:sz w:val="18"/>
          <w:szCs w:val="18"/>
        </w:rPr>
        <w:t>.</w:t>
      </w:r>
      <w:r w:rsidR="00EB5C3F" w:rsidRPr="00206394">
        <w:rPr>
          <w:sz w:val="18"/>
          <w:szCs w:val="18"/>
        </w:rPr>
        <w:t xml:space="preserve"> </w:t>
      </w:r>
      <w:r w:rsidR="00891DEB" w:rsidRPr="00206394">
        <w:rPr>
          <w:sz w:val="18"/>
          <w:szCs w:val="18"/>
        </w:rPr>
        <w:t>The</w:t>
      </w:r>
      <w:r w:rsidR="00D906F5" w:rsidRPr="00206394">
        <w:rPr>
          <w:sz w:val="18"/>
          <w:szCs w:val="18"/>
        </w:rPr>
        <w:t xml:space="preserve"> effect of the Competition Act 1998 is </w:t>
      </w:r>
      <w:r w:rsidR="00FB090B" w:rsidRPr="00206394">
        <w:rPr>
          <w:sz w:val="18"/>
          <w:szCs w:val="18"/>
        </w:rPr>
        <w:t>also</w:t>
      </w:r>
      <w:r w:rsidR="00D906F5" w:rsidRPr="00206394">
        <w:rPr>
          <w:sz w:val="18"/>
          <w:szCs w:val="18"/>
        </w:rPr>
        <w:t xml:space="preserve"> main reason that the private-dominated Rail Delivery Group has remained in control of the UK’s ticket retail system ‘National Rail</w:t>
      </w:r>
      <w:r w:rsidR="002274FC" w:rsidRPr="00206394">
        <w:rPr>
          <w:sz w:val="18"/>
          <w:szCs w:val="18"/>
        </w:rPr>
        <w:t>’ and</w:t>
      </w:r>
      <w:r w:rsidR="00DD5499" w:rsidRPr="00206394">
        <w:rPr>
          <w:sz w:val="18"/>
          <w:szCs w:val="18"/>
        </w:rPr>
        <w:t xml:space="preserve"> most other cross-sector passenger functions</w:t>
      </w:r>
      <w:r w:rsidR="00EB5C3F" w:rsidRPr="00206394">
        <w:rPr>
          <w:sz w:val="18"/>
          <w:szCs w:val="18"/>
        </w:rPr>
        <w:t xml:space="preserve"> (see A</w:t>
      </w:r>
      <w:r w:rsidR="0045264E" w:rsidRPr="00206394">
        <w:rPr>
          <w:sz w:val="18"/>
          <w:szCs w:val="18"/>
        </w:rPr>
        <w:t>ppendix</w:t>
      </w:r>
      <w:r w:rsidR="00EB5C3F" w:rsidRPr="00206394">
        <w:rPr>
          <w:sz w:val="18"/>
          <w:szCs w:val="18"/>
        </w:rPr>
        <w:t>).</w:t>
      </w:r>
      <w:r w:rsidR="00DD5499" w:rsidRPr="00206394">
        <w:rPr>
          <w:sz w:val="18"/>
          <w:szCs w:val="18"/>
        </w:rPr>
        <w:t xml:space="preserve"> </w:t>
      </w:r>
    </w:p>
  </w:footnote>
  <w:footnote w:id="14">
    <w:p w14:paraId="30FECFDF" w14:textId="206BF50A" w:rsidR="0016370C" w:rsidRPr="00206394" w:rsidRDefault="0016370C">
      <w:pPr>
        <w:pStyle w:val="FootnoteText"/>
        <w:rPr>
          <w:sz w:val="18"/>
          <w:szCs w:val="18"/>
        </w:rPr>
      </w:pPr>
      <w:r w:rsidRPr="00206394">
        <w:rPr>
          <w:rStyle w:val="FootnoteReference"/>
          <w:sz w:val="18"/>
          <w:szCs w:val="18"/>
        </w:rPr>
        <w:footnoteRef/>
      </w:r>
      <w:r w:rsidRPr="00206394">
        <w:rPr>
          <w:sz w:val="18"/>
          <w:szCs w:val="18"/>
        </w:rPr>
        <w:t xml:space="preserve"> </w:t>
      </w:r>
      <w:r w:rsidR="000A2CB4" w:rsidRPr="00206394">
        <w:rPr>
          <w:sz w:val="18"/>
          <w:szCs w:val="18"/>
        </w:rPr>
        <w:t xml:space="preserve">Railway Gazette, ‘Rail ticket retailers call for a level playing field’ </w:t>
      </w:r>
      <w:hyperlink r:id="rId13" w:history="1">
        <w:r w:rsidR="000A2CB4" w:rsidRPr="00206394">
          <w:rPr>
            <w:rStyle w:val="Hyperlink"/>
            <w:sz w:val="18"/>
            <w:szCs w:val="18"/>
          </w:rPr>
          <w:t>(8 May 2025)</w:t>
        </w:r>
        <w:r w:rsidR="002B5F6E" w:rsidRPr="00206394">
          <w:rPr>
            <w:rStyle w:val="Hyperlink"/>
            <w:sz w:val="18"/>
            <w:szCs w:val="18"/>
          </w:rPr>
          <w:t>;</w:t>
        </w:r>
      </w:hyperlink>
      <w:r w:rsidR="000A2CB4" w:rsidRPr="00206394">
        <w:rPr>
          <w:sz w:val="18"/>
          <w:szCs w:val="18"/>
        </w:rPr>
        <w:t xml:space="preserve"> </w:t>
      </w:r>
      <w:r w:rsidR="002B5F6E" w:rsidRPr="00206394">
        <w:rPr>
          <w:sz w:val="18"/>
          <w:szCs w:val="18"/>
        </w:rPr>
        <w:t xml:space="preserve">City AM, Trainline to take on Labour as shares plunge </w:t>
      </w:r>
      <w:hyperlink r:id="rId14" w:history="1">
        <w:r w:rsidR="002B5F6E" w:rsidRPr="00206394">
          <w:rPr>
            <w:rStyle w:val="Hyperlink"/>
            <w:sz w:val="18"/>
            <w:szCs w:val="18"/>
          </w:rPr>
          <w:t>(7 May 2025).</w:t>
        </w:r>
      </w:hyperlink>
    </w:p>
  </w:footnote>
  <w:footnote w:id="15">
    <w:p w14:paraId="4A9B8859" w14:textId="132809A1" w:rsidR="00C4383B" w:rsidRPr="00206394" w:rsidRDefault="00C4383B">
      <w:pPr>
        <w:pStyle w:val="FootnoteText"/>
        <w:rPr>
          <w:sz w:val="18"/>
          <w:szCs w:val="18"/>
        </w:rPr>
      </w:pPr>
      <w:r w:rsidRPr="00206394">
        <w:rPr>
          <w:rStyle w:val="FootnoteReference"/>
          <w:sz w:val="18"/>
          <w:szCs w:val="18"/>
        </w:rPr>
        <w:footnoteRef/>
      </w:r>
      <w:r w:rsidRPr="00206394">
        <w:rPr>
          <w:sz w:val="18"/>
          <w:szCs w:val="18"/>
        </w:rPr>
        <w:t xml:space="preserve"> </w:t>
      </w:r>
      <w:r w:rsidR="00C011C1" w:rsidRPr="00206394">
        <w:rPr>
          <w:sz w:val="18"/>
          <w:szCs w:val="18"/>
        </w:rPr>
        <w:t xml:space="preserve">Independent Rail Retailers response to the GBR consultation </w:t>
      </w:r>
      <w:hyperlink r:id="rId15" w:history="1">
        <w:r w:rsidR="00C011C1" w:rsidRPr="00206394">
          <w:rPr>
            <w:rStyle w:val="Hyperlink"/>
            <w:sz w:val="18"/>
            <w:szCs w:val="18"/>
          </w:rPr>
          <w:t>(April 2025),</w:t>
        </w:r>
      </w:hyperlink>
      <w:r w:rsidR="00F87B47" w:rsidRPr="00206394">
        <w:rPr>
          <w:sz w:val="18"/>
          <w:szCs w:val="18"/>
        </w:rPr>
        <w:t xml:space="preserve">CMA response to GBR consultation </w:t>
      </w:r>
      <w:hyperlink r:id="rId16" w:history="1">
        <w:r w:rsidR="00F87B47" w:rsidRPr="00206394">
          <w:rPr>
            <w:rStyle w:val="Hyperlink"/>
            <w:sz w:val="18"/>
            <w:szCs w:val="18"/>
          </w:rPr>
          <w:t>(April 2025)</w:t>
        </w:r>
      </w:hyperlink>
      <w:r w:rsidR="00F87B47" w:rsidRPr="00206394">
        <w:rPr>
          <w:sz w:val="18"/>
          <w:szCs w:val="18"/>
        </w:rPr>
        <w:t xml:space="preserve"> </w:t>
      </w:r>
      <w:r w:rsidR="00D33900" w:rsidRPr="00206394">
        <w:rPr>
          <w:sz w:val="18"/>
          <w:szCs w:val="18"/>
        </w:rPr>
        <w:t xml:space="preserve"> </w:t>
      </w:r>
      <w:r w:rsidR="00F87B47" w:rsidRPr="00206394">
        <w:rPr>
          <w:sz w:val="18"/>
          <w:szCs w:val="18"/>
        </w:rPr>
        <w:t>CMA response to rail reform consultation</w:t>
      </w:r>
      <w:hyperlink r:id="rId17" w:history="1">
        <w:r w:rsidR="00F87B47" w:rsidRPr="00206394">
          <w:rPr>
            <w:rStyle w:val="Hyperlink"/>
            <w:sz w:val="18"/>
            <w:szCs w:val="18"/>
          </w:rPr>
          <w:t xml:space="preserve"> (Aug 2022); </w:t>
        </w:r>
      </w:hyperlink>
      <w:r w:rsidR="00C011C1" w:rsidRPr="00206394">
        <w:rPr>
          <w:sz w:val="18"/>
          <w:szCs w:val="18"/>
        </w:rPr>
        <w:t xml:space="preserve"> </w:t>
      </w:r>
    </w:p>
  </w:footnote>
  <w:footnote w:id="16">
    <w:p w14:paraId="0D2ACD22" w14:textId="00B060CA" w:rsidR="007D637C" w:rsidRDefault="007D637C">
      <w:pPr>
        <w:pStyle w:val="FootnoteText"/>
      </w:pPr>
      <w:r w:rsidRPr="00206394">
        <w:rPr>
          <w:rStyle w:val="FootnoteReference"/>
          <w:sz w:val="18"/>
          <w:szCs w:val="18"/>
        </w:rPr>
        <w:footnoteRef/>
      </w:r>
      <w:r w:rsidRPr="00206394">
        <w:rPr>
          <w:sz w:val="18"/>
          <w:szCs w:val="18"/>
        </w:rPr>
        <w:t xml:space="preserve"> </w:t>
      </w:r>
      <w:r w:rsidR="00C011C1" w:rsidRPr="00206394">
        <w:rPr>
          <w:sz w:val="18"/>
          <w:szCs w:val="18"/>
        </w:rPr>
        <w:t xml:space="preserve">Independent Rail Retailers response to the GBR consultation </w:t>
      </w:r>
      <w:hyperlink r:id="rId18" w:history="1">
        <w:r w:rsidR="00C011C1" w:rsidRPr="00206394">
          <w:rPr>
            <w:rStyle w:val="Hyperlink"/>
            <w:sz w:val="18"/>
            <w:szCs w:val="18"/>
          </w:rPr>
          <w:t>(April 2025),</w:t>
        </w:r>
      </w:hyperlink>
      <w:r w:rsidR="00C011C1" w:rsidRPr="00206394">
        <w:rPr>
          <w:sz w:val="18"/>
          <w:szCs w:val="18"/>
        </w:rPr>
        <w:t xml:space="preserve"> 3.</w:t>
      </w:r>
    </w:p>
  </w:footnote>
  <w:footnote w:id="17">
    <w:p w14:paraId="2B4D8996" w14:textId="77777777" w:rsidR="005419CD" w:rsidRPr="00206394" w:rsidRDefault="005419CD" w:rsidP="005419CD">
      <w:pPr>
        <w:pStyle w:val="FootnoteText"/>
        <w:rPr>
          <w:sz w:val="18"/>
          <w:szCs w:val="18"/>
        </w:rPr>
      </w:pPr>
      <w:r w:rsidRPr="00206394">
        <w:rPr>
          <w:rStyle w:val="FootnoteReference"/>
          <w:sz w:val="18"/>
          <w:szCs w:val="18"/>
        </w:rPr>
        <w:footnoteRef/>
      </w:r>
      <w:r w:rsidRPr="00206394">
        <w:rPr>
          <w:sz w:val="18"/>
          <w:szCs w:val="18"/>
        </w:rPr>
        <w:t xml:space="preserve"> </w:t>
      </w:r>
      <w:r w:rsidRPr="00392346">
        <w:rPr>
          <w:sz w:val="18"/>
          <w:szCs w:val="18"/>
        </w:rPr>
        <w:t>Internal Review</w:t>
      </w:r>
      <w:r w:rsidRPr="00206394">
        <w:rPr>
          <w:sz w:val="18"/>
          <w:szCs w:val="18"/>
        </w:rPr>
        <w:t xml:space="preserve">: </w:t>
      </w:r>
      <w:r w:rsidRPr="00392346">
        <w:rPr>
          <w:sz w:val="18"/>
          <w:szCs w:val="18"/>
        </w:rPr>
        <w:t>FOI2025/00071</w:t>
      </w:r>
      <w:r w:rsidRPr="00206394">
        <w:rPr>
          <w:sz w:val="18"/>
          <w:szCs w:val="18"/>
        </w:rPr>
        <w:t xml:space="preserve"> (27 Feb 2025) </w:t>
      </w:r>
      <w:r w:rsidRPr="00206394">
        <w:rPr>
          <w:i/>
          <w:iCs/>
          <w:sz w:val="18"/>
          <w:szCs w:val="18"/>
        </w:rPr>
        <w:t>“at the time of writing, GBRTT still exists as an arm’s-length body of government and continues to provide advice to the government on GBR design…”</w:t>
      </w:r>
      <w:r w:rsidRPr="00206394">
        <w:rPr>
          <w:sz w:val="18"/>
          <w:szCs w:val="18"/>
        </w:rPr>
        <w:t xml:space="preserve"> Four reports on organisational design were vetoed for release by a DfT minister, dated: Nov 2022, Feb 2023, Nov 2024, Dec 2024. (pages 5-6).</w:t>
      </w:r>
    </w:p>
  </w:footnote>
  <w:footnote w:id="18">
    <w:p w14:paraId="58A4198E" w14:textId="0B828101" w:rsidR="005419CD" w:rsidRPr="00206394" w:rsidRDefault="005419CD" w:rsidP="005419CD">
      <w:pPr>
        <w:pStyle w:val="FootnoteText"/>
        <w:rPr>
          <w:sz w:val="18"/>
          <w:szCs w:val="18"/>
        </w:rPr>
      </w:pPr>
      <w:r w:rsidRPr="00206394">
        <w:rPr>
          <w:rStyle w:val="FootnoteReference"/>
          <w:sz w:val="18"/>
          <w:szCs w:val="18"/>
        </w:rPr>
        <w:footnoteRef/>
      </w:r>
      <w:r w:rsidRPr="00206394">
        <w:rPr>
          <w:sz w:val="18"/>
          <w:szCs w:val="18"/>
        </w:rPr>
        <w:t xml:space="preserve"> </w:t>
      </w:r>
      <w:r w:rsidR="00C92CCE" w:rsidRPr="00206394">
        <w:rPr>
          <w:sz w:val="18"/>
          <w:szCs w:val="18"/>
        </w:rPr>
        <w:t>Rail Partners-GBRTT official advice to ministers included: ‘The sector coming together to agree the next steps of rail reform (Dec 2022); ‘An industry view of a streamlined GBR’ (May 2023) ‘A statement of intent for rail freight reform’ (Sep 2023). Available to download via zip folder</w:t>
      </w:r>
      <w:r w:rsidR="005276E2">
        <w:rPr>
          <w:sz w:val="18"/>
          <w:szCs w:val="18"/>
        </w:rPr>
        <w:t>.</w:t>
      </w:r>
    </w:p>
  </w:footnote>
  <w:footnote w:id="19">
    <w:p w14:paraId="2A75432A" w14:textId="19ACC473" w:rsidR="005419CD" w:rsidRPr="00206394" w:rsidRDefault="005419CD" w:rsidP="00D016E5">
      <w:pPr>
        <w:spacing w:after="0" w:line="240" w:lineRule="auto"/>
        <w:rPr>
          <w:sz w:val="18"/>
          <w:szCs w:val="18"/>
        </w:rPr>
      </w:pPr>
      <w:r w:rsidRPr="00206394">
        <w:rPr>
          <w:rStyle w:val="FootnoteReference"/>
          <w:sz w:val="18"/>
          <w:szCs w:val="18"/>
        </w:rPr>
        <w:footnoteRef/>
      </w:r>
      <w:r w:rsidRPr="00206394">
        <w:rPr>
          <w:sz w:val="18"/>
          <w:szCs w:val="18"/>
        </w:rPr>
        <w:t xml:space="preserve"> </w:t>
      </w:r>
      <w:r w:rsidR="00C61379" w:rsidRPr="00206394">
        <w:rPr>
          <w:sz w:val="18"/>
          <w:szCs w:val="18"/>
        </w:rPr>
        <w:t>FOI2024/01962 (15 Jan 2025)</w:t>
      </w:r>
      <w:r w:rsidR="00144B5C" w:rsidRPr="00206394">
        <w:rPr>
          <w:sz w:val="18"/>
          <w:szCs w:val="18"/>
        </w:rPr>
        <w:t>.</w:t>
      </w:r>
    </w:p>
  </w:footnote>
  <w:footnote w:id="20">
    <w:p w14:paraId="350978CD" w14:textId="77777777" w:rsidR="00B00B33" w:rsidRPr="00206394" w:rsidRDefault="00B00B33" w:rsidP="00B00B33">
      <w:pPr>
        <w:pStyle w:val="FootnoteText"/>
        <w:rPr>
          <w:sz w:val="18"/>
          <w:szCs w:val="18"/>
        </w:rPr>
      </w:pPr>
      <w:r w:rsidRPr="00206394">
        <w:rPr>
          <w:rStyle w:val="FootnoteReference"/>
          <w:sz w:val="18"/>
          <w:szCs w:val="18"/>
        </w:rPr>
        <w:footnoteRef/>
      </w:r>
      <w:r w:rsidRPr="00206394">
        <w:rPr>
          <w:sz w:val="18"/>
          <w:szCs w:val="18"/>
        </w:rPr>
        <w:t xml:space="preserve"> FOI-00030202 (13 Feb 2025).</w:t>
      </w:r>
    </w:p>
  </w:footnote>
  <w:footnote w:id="21">
    <w:p w14:paraId="7C686D15" w14:textId="0653EE3F" w:rsidR="00107A38" w:rsidRPr="00206394" w:rsidRDefault="005419CD" w:rsidP="00107A38">
      <w:pPr>
        <w:pStyle w:val="FootnoteText"/>
        <w:rPr>
          <w:rFonts w:cstheme="minorHAnsi"/>
          <w:sz w:val="18"/>
          <w:szCs w:val="18"/>
        </w:rPr>
      </w:pPr>
      <w:r w:rsidRPr="00206394">
        <w:rPr>
          <w:rStyle w:val="FootnoteReference"/>
          <w:sz w:val="18"/>
          <w:szCs w:val="18"/>
        </w:rPr>
        <w:footnoteRef/>
      </w:r>
      <w:r w:rsidRPr="00206394">
        <w:rPr>
          <w:sz w:val="18"/>
          <w:szCs w:val="18"/>
        </w:rPr>
        <w:t xml:space="preserve"> </w:t>
      </w:r>
      <w:r w:rsidR="00D016E5" w:rsidRPr="00206394">
        <w:rPr>
          <w:rFonts w:cstheme="minorHAnsi"/>
          <w:sz w:val="18"/>
          <w:szCs w:val="18"/>
        </w:rPr>
        <w:t xml:space="preserve">Internal Review: FOI2025/00071: </w:t>
      </w:r>
      <w:r w:rsidR="00D016E5" w:rsidRPr="00206394">
        <w:rPr>
          <w:rFonts w:cstheme="minorHAnsi"/>
          <w:i/>
          <w:iCs/>
          <w:sz w:val="18"/>
          <w:szCs w:val="18"/>
        </w:rPr>
        <w:t xml:space="preserve">“2021-2022 - Negotiated with owning groups in Rail Delivery Group share transfer to GBRTT. This share transfer workstream was aborted in 2022.” </w:t>
      </w:r>
      <w:r w:rsidR="00D016E5" w:rsidRPr="00206394">
        <w:rPr>
          <w:rFonts w:cstheme="minorHAnsi"/>
          <w:sz w:val="18"/>
          <w:szCs w:val="18"/>
        </w:rPr>
        <w:t xml:space="preserve">See also ORR Meeting Minutes </w:t>
      </w:r>
      <w:hyperlink r:id="rId19" w:history="1">
        <w:r w:rsidR="00D016E5" w:rsidRPr="00206394">
          <w:rPr>
            <w:rStyle w:val="Hyperlink"/>
            <w:rFonts w:cstheme="minorHAnsi"/>
            <w:sz w:val="18"/>
            <w:szCs w:val="18"/>
          </w:rPr>
          <w:t>(June 2022)</w:t>
        </w:r>
      </w:hyperlink>
      <w:r w:rsidR="00D016E5" w:rsidRPr="00206394">
        <w:rPr>
          <w:rFonts w:cstheme="minorHAnsi"/>
          <w:sz w:val="18"/>
          <w:szCs w:val="18"/>
        </w:rPr>
        <w:t xml:space="preserve"> announcing the sudden withdrawal of the plans.</w:t>
      </w:r>
    </w:p>
    <w:p w14:paraId="2C2012DF" w14:textId="381456B8" w:rsidR="005419CD" w:rsidRDefault="005419CD" w:rsidP="00107A38">
      <w:pPr>
        <w:pStyle w:val="FootnoteText"/>
      </w:pPr>
    </w:p>
  </w:footnote>
  <w:footnote w:id="22">
    <w:p w14:paraId="7C1E1B43" w14:textId="0115CA6E" w:rsidR="001223C4" w:rsidRPr="00C758B4" w:rsidRDefault="00B54E9A">
      <w:pPr>
        <w:pStyle w:val="FootnoteText"/>
        <w:rPr>
          <w:sz w:val="18"/>
          <w:szCs w:val="18"/>
        </w:rPr>
      </w:pPr>
      <w:r w:rsidRPr="00C758B4">
        <w:rPr>
          <w:rStyle w:val="FootnoteReference"/>
          <w:sz w:val="18"/>
          <w:szCs w:val="18"/>
        </w:rPr>
        <w:footnoteRef/>
      </w:r>
      <w:r w:rsidR="001223C4" w:rsidRPr="00C758B4">
        <w:rPr>
          <w:sz w:val="18"/>
          <w:szCs w:val="18"/>
        </w:rPr>
        <w:t xml:space="preserve"> </w:t>
      </w:r>
      <w:r w:rsidR="00EF33C7" w:rsidRPr="00C758B4">
        <w:rPr>
          <w:sz w:val="18"/>
          <w:szCs w:val="18"/>
        </w:rPr>
        <w:t xml:space="preserve">DfT, Williams-Shapps plan for rail consultation </w:t>
      </w:r>
      <w:r w:rsidR="009A3B10" w:rsidRPr="00C758B4">
        <w:rPr>
          <w:sz w:val="18"/>
          <w:szCs w:val="18"/>
        </w:rPr>
        <w:t>-</w:t>
      </w:r>
      <w:r w:rsidR="00EF33C7" w:rsidRPr="00C758B4">
        <w:rPr>
          <w:sz w:val="18"/>
          <w:szCs w:val="18"/>
        </w:rPr>
        <w:t xml:space="preserve"> </w:t>
      </w:r>
      <w:r w:rsidR="009A3B10" w:rsidRPr="00C758B4">
        <w:rPr>
          <w:sz w:val="18"/>
          <w:szCs w:val="18"/>
        </w:rPr>
        <w:t xml:space="preserve">impact assessments </w:t>
      </w:r>
      <w:hyperlink r:id="rId20" w:history="1">
        <w:r w:rsidR="009A3B10" w:rsidRPr="00C758B4">
          <w:rPr>
            <w:rStyle w:val="Hyperlink"/>
            <w:sz w:val="18"/>
            <w:szCs w:val="18"/>
          </w:rPr>
          <w:t>(June 2022),</w:t>
        </w:r>
      </w:hyperlink>
      <w:r w:rsidR="009A3B10" w:rsidRPr="00C758B4">
        <w:rPr>
          <w:sz w:val="18"/>
          <w:szCs w:val="18"/>
        </w:rPr>
        <w:t xml:space="preserve"> 9</w:t>
      </w:r>
      <w:r w:rsidRPr="00C758B4">
        <w:rPr>
          <w:sz w:val="18"/>
          <w:szCs w:val="18"/>
        </w:rPr>
        <w:t>.</w:t>
      </w:r>
    </w:p>
  </w:footnote>
  <w:footnote w:id="23">
    <w:p w14:paraId="4033EE7F" w14:textId="78333A36" w:rsidR="00206394" w:rsidRDefault="00206394" w:rsidP="00206394">
      <w:pPr>
        <w:pStyle w:val="FootnoteText"/>
      </w:pPr>
      <w:r w:rsidRPr="00C758B4">
        <w:rPr>
          <w:rStyle w:val="FootnoteReference"/>
          <w:sz w:val="18"/>
          <w:szCs w:val="18"/>
        </w:rPr>
        <w:footnoteRef/>
      </w:r>
      <w:r w:rsidRPr="00C758B4">
        <w:rPr>
          <w:sz w:val="18"/>
          <w:szCs w:val="18"/>
        </w:rPr>
        <w:t xml:space="preserve"> DfT, A railway fit for the future, GBR consultation </w:t>
      </w:r>
      <w:hyperlink r:id="rId21" w:history="1">
        <w:r w:rsidRPr="004614E6">
          <w:rPr>
            <w:rStyle w:val="Hyperlink"/>
            <w:sz w:val="18"/>
            <w:szCs w:val="18"/>
          </w:rPr>
          <w:t>(Feb 2025)</w:t>
        </w:r>
      </w:hyperlink>
      <w:r w:rsidR="001E7BC2">
        <w:rPr>
          <w:sz w:val="18"/>
          <w:szCs w:val="18"/>
        </w:rPr>
        <w:t xml:space="preserve"> </w:t>
      </w:r>
      <w:r w:rsidR="00D776F6" w:rsidRPr="00C758B4">
        <w:rPr>
          <w:sz w:val="18"/>
          <w:szCs w:val="18"/>
        </w:rPr>
        <w:t>37-38</w:t>
      </w:r>
      <w:r w:rsidR="00D776F6">
        <w:rPr>
          <w:sz w:val="18"/>
          <w:szCs w:val="18"/>
        </w:rPr>
        <w:t xml:space="preserve">; </w:t>
      </w:r>
      <w:r w:rsidR="001E7BC2" w:rsidRPr="00206394">
        <w:rPr>
          <w:sz w:val="18"/>
          <w:szCs w:val="18"/>
        </w:rPr>
        <w:t xml:space="preserve">Independent Rail Retailers response to the GBR consultation </w:t>
      </w:r>
      <w:hyperlink r:id="rId22" w:history="1">
        <w:r w:rsidR="00D776F6">
          <w:rPr>
            <w:rStyle w:val="Hyperlink"/>
            <w:sz w:val="18"/>
            <w:szCs w:val="18"/>
          </w:rPr>
          <w:t>(April 2025);</w:t>
        </w:r>
      </w:hyperlink>
      <w:r w:rsidR="001E7BC2" w:rsidRPr="00206394">
        <w:rPr>
          <w:sz w:val="18"/>
          <w:szCs w:val="18"/>
        </w:rPr>
        <w:t xml:space="preserve"> </w:t>
      </w:r>
      <w:r w:rsidR="001E7BC2" w:rsidRPr="00C758B4">
        <w:rPr>
          <w:sz w:val="18"/>
          <w:szCs w:val="18"/>
        </w:rPr>
        <w:t xml:space="preserve">CMA response to GBR consultation </w:t>
      </w:r>
      <w:hyperlink r:id="rId23" w:history="1">
        <w:r w:rsidR="00D776F6">
          <w:rPr>
            <w:rStyle w:val="Hyperlink"/>
            <w:sz w:val="18"/>
            <w:szCs w:val="18"/>
          </w:rPr>
          <w:t>(April 2025);</w:t>
        </w:r>
      </w:hyperlink>
      <w:r w:rsidR="001E7BC2">
        <w:rPr>
          <w:sz w:val="18"/>
          <w:szCs w:val="18"/>
        </w:rPr>
        <w:t xml:space="preserve"> </w:t>
      </w:r>
      <w:r w:rsidRPr="00C758B4">
        <w:rPr>
          <w:sz w:val="18"/>
          <w:szCs w:val="18"/>
        </w:rPr>
        <w:t>ORR,</w:t>
      </w:r>
      <w:r w:rsidR="00D776F6">
        <w:rPr>
          <w:sz w:val="18"/>
          <w:szCs w:val="18"/>
        </w:rPr>
        <w:t xml:space="preserve"> </w:t>
      </w:r>
      <w:r w:rsidRPr="00C758B4">
        <w:rPr>
          <w:sz w:val="18"/>
          <w:szCs w:val="18"/>
        </w:rPr>
        <w:t>response to rail reform consultation</w:t>
      </w:r>
      <w:hyperlink r:id="rId24" w:history="1">
        <w:r w:rsidRPr="00C758B4">
          <w:rPr>
            <w:rStyle w:val="Hyperlink"/>
            <w:sz w:val="18"/>
            <w:szCs w:val="18"/>
          </w:rPr>
          <w:t xml:space="preserve"> (July 2022); </w:t>
        </w:r>
      </w:hyperlink>
      <w:r w:rsidRPr="00C758B4">
        <w:rPr>
          <w:sz w:val="18"/>
          <w:szCs w:val="18"/>
        </w:rPr>
        <w:t>CMA response to rail reform consultation</w:t>
      </w:r>
      <w:hyperlink r:id="rId25" w:history="1">
        <w:r w:rsidR="00D776F6">
          <w:rPr>
            <w:rStyle w:val="Hyperlink"/>
            <w:sz w:val="18"/>
            <w:szCs w:val="18"/>
          </w:rPr>
          <w:t xml:space="preserve"> (Aug 2022).</w:t>
        </w:r>
      </w:hyperlink>
      <w:r w:rsidR="001E7BC2">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76F9F"/>
    <w:multiLevelType w:val="hybridMultilevel"/>
    <w:tmpl w:val="B998791C"/>
    <w:lvl w:ilvl="0" w:tplc="6994D71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157E94"/>
    <w:multiLevelType w:val="hybridMultilevel"/>
    <w:tmpl w:val="552CEC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687C60"/>
    <w:multiLevelType w:val="hybridMultilevel"/>
    <w:tmpl w:val="552CEC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643178D0"/>
    <w:multiLevelType w:val="hybridMultilevel"/>
    <w:tmpl w:val="20662F9A"/>
    <w:lvl w:ilvl="0" w:tplc="2564B714">
      <w:start w:val="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99881790">
    <w:abstractNumId w:val="3"/>
  </w:num>
  <w:num w:numId="2" w16cid:durableId="293609004">
    <w:abstractNumId w:val="1"/>
  </w:num>
  <w:num w:numId="3" w16cid:durableId="818808372">
    <w:abstractNumId w:val="0"/>
  </w:num>
  <w:num w:numId="4" w16cid:durableId="12093388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F63"/>
    <w:rsid w:val="00001B1E"/>
    <w:rsid w:val="00001C5D"/>
    <w:rsid w:val="00012D62"/>
    <w:rsid w:val="00016F9A"/>
    <w:rsid w:val="00026F3F"/>
    <w:rsid w:val="00030BF5"/>
    <w:rsid w:val="00030CB6"/>
    <w:rsid w:val="00036877"/>
    <w:rsid w:val="0003780A"/>
    <w:rsid w:val="00047471"/>
    <w:rsid w:val="000476CB"/>
    <w:rsid w:val="00050DE1"/>
    <w:rsid w:val="000513F0"/>
    <w:rsid w:val="00060661"/>
    <w:rsid w:val="00060C08"/>
    <w:rsid w:val="000846F7"/>
    <w:rsid w:val="000A20EF"/>
    <w:rsid w:val="000A2671"/>
    <w:rsid w:val="000A2CB4"/>
    <w:rsid w:val="000A649C"/>
    <w:rsid w:val="000A70B1"/>
    <w:rsid w:val="000B0D6D"/>
    <w:rsid w:val="000B53FD"/>
    <w:rsid w:val="000B78EA"/>
    <w:rsid w:val="000B7E5E"/>
    <w:rsid w:val="000C3F0A"/>
    <w:rsid w:val="000C6E85"/>
    <w:rsid w:val="000D4D4F"/>
    <w:rsid w:val="0010438E"/>
    <w:rsid w:val="00105901"/>
    <w:rsid w:val="00107A38"/>
    <w:rsid w:val="0011070C"/>
    <w:rsid w:val="0011507A"/>
    <w:rsid w:val="001223C4"/>
    <w:rsid w:val="00122A0E"/>
    <w:rsid w:val="00134601"/>
    <w:rsid w:val="0013531B"/>
    <w:rsid w:val="00135BEB"/>
    <w:rsid w:val="00144B5C"/>
    <w:rsid w:val="001510B1"/>
    <w:rsid w:val="00151C9D"/>
    <w:rsid w:val="0016370C"/>
    <w:rsid w:val="00165B98"/>
    <w:rsid w:val="001668AE"/>
    <w:rsid w:val="0017347B"/>
    <w:rsid w:val="00173CD8"/>
    <w:rsid w:val="00174742"/>
    <w:rsid w:val="00177412"/>
    <w:rsid w:val="0018020F"/>
    <w:rsid w:val="00186401"/>
    <w:rsid w:val="00191781"/>
    <w:rsid w:val="001A0485"/>
    <w:rsid w:val="001A1839"/>
    <w:rsid w:val="001A2794"/>
    <w:rsid w:val="001B767F"/>
    <w:rsid w:val="001C5643"/>
    <w:rsid w:val="001C62FD"/>
    <w:rsid w:val="001C7B6F"/>
    <w:rsid w:val="001D0978"/>
    <w:rsid w:val="001E0908"/>
    <w:rsid w:val="001E44DF"/>
    <w:rsid w:val="001E6713"/>
    <w:rsid w:val="001E7BC2"/>
    <w:rsid w:val="001F3EF4"/>
    <w:rsid w:val="00201622"/>
    <w:rsid w:val="00202979"/>
    <w:rsid w:val="00206394"/>
    <w:rsid w:val="00206ED0"/>
    <w:rsid w:val="002113DB"/>
    <w:rsid w:val="0021578C"/>
    <w:rsid w:val="0022530A"/>
    <w:rsid w:val="002274FC"/>
    <w:rsid w:val="002409E3"/>
    <w:rsid w:val="0024511F"/>
    <w:rsid w:val="002513B8"/>
    <w:rsid w:val="0025229F"/>
    <w:rsid w:val="00252BE7"/>
    <w:rsid w:val="00256EF2"/>
    <w:rsid w:val="002633E3"/>
    <w:rsid w:val="00271278"/>
    <w:rsid w:val="00271F7C"/>
    <w:rsid w:val="00273AA8"/>
    <w:rsid w:val="00273EDA"/>
    <w:rsid w:val="00284A02"/>
    <w:rsid w:val="00285D1A"/>
    <w:rsid w:val="00287BB8"/>
    <w:rsid w:val="002A2D8F"/>
    <w:rsid w:val="002A5120"/>
    <w:rsid w:val="002B3628"/>
    <w:rsid w:val="002B5F6E"/>
    <w:rsid w:val="002D3497"/>
    <w:rsid w:val="002D6090"/>
    <w:rsid w:val="002E112F"/>
    <w:rsid w:val="002E5F31"/>
    <w:rsid w:val="002E6B18"/>
    <w:rsid w:val="00306175"/>
    <w:rsid w:val="00320243"/>
    <w:rsid w:val="00325E40"/>
    <w:rsid w:val="00336939"/>
    <w:rsid w:val="00345B30"/>
    <w:rsid w:val="003504E9"/>
    <w:rsid w:val="00362EEA"/>
    <w:rsid w:val="003634C3"/>
    <w:rsid w:val="00373C31"/>
    <w:rsid w:val="00376704"/>
    <w:rsid w:val="00380A9A"/>
    <w:rsid w:val="0038139A"/>
    <w:rsid w:val="00384333"/>
    <w:rsid w:val="00385357"/>
    <w:rsid w:val="00386A5F"/>
    <w:rsid w:val="003918CE"/>
    <w:rsid w:val="00397118"/>
    <w:rsid w:val="003A6DC3"/>
    <w:rsid w:val="003B39D8"/>
    <w:rsid w:val="003B6E04"/>
    <w:rsid w:val="003B7906"/>
    <w:rsid w:val="003C28D9"/>
    <w:rsid w:val="003C4F5B"/>
    <w:rsid w:val="003E4537"/>
    <w:rsid w:val="003E6CE3"/>
    <w:rsid w:val="00407278"/>
    <w:rsid w:val="00410EE3"/>
    <w:rsid w:val="00417234"/>
    <w:rsid w:val="00417B02"/>
    <w:rsid w:val="004213DC"/>
    <w:rsid w:val="00433EF2"/>
    <w:rsid w:val="00434144"/>
    <w:rsid w:val="00436808"/>
    <w:rsid w:val="004370D5"/>
    <w:rsid w:val="00442A90"/>
    <w:rsid w:val="00450A5C"/>
    <w:rsid w:val="0045264E"/>
    <w:rsid w:val="0045421D"/>
    <w:rsid w:val="004614E6"/>
    <w:rsid w:val="00467BCA"/>
    <w:rsid w:val="00475598"/>
    <w:rsid w:val="00483532"/>
    <w:rsid w:val="00485575"/>
    <w:rsid w:val="0049072A"/>
    <w:rsid w:val="00492578"/>
    <w:rsid w:val="00493653"/>
    <w:rsid w:val="004A05A5"/>
    <w:rsid w:val="004A1914"/>
    <w:rsid w:val="004B4037"/>
    <w:rsid w:val="004B75DB"/>
    <w:rsid w:val="004C366A"/>
    <w:rsid w:val="004D4324"/>
    <w:rsid w:val="004D58E8"/>
    <w:rsid w:val="004D621A"/>
    <w:rsid w:val="004D6B45"/>
    <w:rsid w:val="004E0362"/>
    <w:rsid w:val="004F464C"/>
    <w:rsid w:val="005019CE"/>
    <w:rsid w:val="00507317"/>
    <w:rsid w:val="005276E2"/>
    <w:rsid w:val="005419CD"/>
    <w:rsid w:val="00547463"/>
    <w:rsid w:val="00552CE8"/>
    <w:rsid w:val="00567947"/>
    <w:rsid w:val="00567BB1"/>
    <w:rsid w:val="00567C1B"/>
    <w:rsid w:val="005C37E2"/>
    <w:rsid w:val="005C4821"/>
    <w:rsid w:val="005C66AA"/>
    <w:rsid w:val="005C7E5E"/>
    <w:rsid w:val="005D39E9"/>
    <w:rsid w:val="005D5A98"/>
    <w:rsid w:val="005E2513"/>
    <w:rsid w:val="005F06CC"/>
    <w:rsid w:val="005F3E4F"/>
    <w:rsid w:val="005F7CF2"/>
    <w:rsid w:val="00622C72"/>
    <w:rsid w:val="00637329"/>
    <w:rsid w:val="00641917"/>
    <w:rsid w:val="00644578"/>
    <w:rsid w:val="00656347"/>
    <w:rsid w:val="006611B4"/>
    <w:rsid w:val="00662C88"/>
    <w:rsid w:val="00675F64"/>
    <w:rsid w:val="0068057A"/>
    <w:rsid w:val="00681BA0"/>
    <w:rsid w:val="0068567C"/>
    <w:rsid w:val="00697C16"/>
    <w:rsid w:val="006A0DE8"/>
    <w:rsid w:val="006A453F"/>
    <w:rsid w:val="006B133B"/>
    <w:rsid w:val="006B157D"/>
    <w:rsid w:val="006B1BFD"/>
    <w:rsid w:val="006B591B"/>
    <w:rsid w:val="006C2D55"/>
    <w:rsid w:val="006C6179"/>
    <w:rsid w:val="006C7A50"/>
    <w:rsid w:val="006D7FDD"/>
    <w:rsid w:val="006E0EDD"/>
    <w:rsid w:val="006E197F"/>
    <w:rsid w:val="006E638C"/>
    <w:rsid w:val="006E79A6"/>
    <w:rsid w:val="006F3C7B"/>
    <w:rsid w:val="006F4751"/>
    <w:rsid w:val="00723D88"/>
    <w:rsid w:val="00724E89"/>
    <w:rsid w:val="007312B3"/>
    <w:rsid w:val="00732E64"/>
    <w:rsid w:val="00737CD2"/>
    <w:rsid w:val="00745C57"/>
    <w:rsid w:val="007511A8"/>
    <w:rsid w:val="00761775"/>
    <w:rsid w:val="00771D22"/>
    <w:rsid w:val="00775CFA"/>
    <w:rsid w:val="0078693C"/>
    <w:rsid w:val="007B5729"/>
    <w:rsid w:val="007B7D63"/>
    <w:rsid w:val="007D637C"/>
    <w:rsid w:val="007E3621"/>
    <w:rsid w:val="007E6DAB"/>
    <w:rsid w:val="007F0AB8"/>
    <w:rsid w:val="007F73E0"/>
    <w:rsid w:val="00800FFF"/>
    <w:rsid w:val="0080499B"/>
    <w:rsid w:val="00804C62"/>
    <w:rsid w:val="00807F20"/>
    <w:rsid w:val="00811AF9"/>
    <w:rsid w:val="0081455F"/>
    <w:rsid w:val="00814B58"/>
    <w:rsid w:val="008204E2"/>
    <w:rsid w:val="00825D34"/>
    <w:rsid w:val="00826716"/>
    <w:rsid w:val="00827375"/>
    <w:rsid w:val="00830C9B"/>
    <w:rsid w:val="00832270"/>
    <w:rsid w:val="00834005"/>
    <w:rsid w:val="008347DD"/>
    <w:rsid w:val="00834D9C"/>
    <w:rsid w:val="00837054"/>
    <w:rsid w:val="008403CE"/>
    <w:rsid w:val="008437C9"/>
    <w:rsid w:val="00846338"/>
    <w:rsid w:val="0084646F"/>
    <w:rsid w:val="008474CB"/>
    <w:rsid w:val="0085723B"/>
    <w:rsid w:val="0086414B"/>
    <w:rsid w:val="00866BB8"/>
    <w:rsid w:val="00873AAB"/>
    <w:rsid w:val="00876759"/>
    <w:rsid w:val="00877048"/>
    <w:rsid w:val="00882231"/>
    <w:rsid w:val="00890147"/>
    <w:rsid w:val="00891DEB"/>
    <w:rsid w:val="0089488A"/>
    <w:rsid w:val="008A1E1E"/>
    <w:rsid w:val="008A5F5B"/>
    <w:rsid w:val="008B3167"/>
    <w:rsid w:val="008C0BA1"/>
    <w:rsid w:val="008C6F07"/>
    <w:rsid w:val="008D5948"/>
    <w:rsid w:val="008D7763"/>
    <w:rsid w:val="008F1167"/>
    <w:rsid w:val="009145C8"/>
    <w:rsid w:val="00935767"/>
    <w:rsid w:val="00936E55"/>
    <w:rsid w:val="00956144"/>
    <w:rsid w:val="0097357B"/>
    <w:rsid w:val="00973C3A"/>
    <w:rsid w:val="00983988"/>
    <w:rsid w:val="009A3B10"/>
    <w:rsid w:val="009A50D5"/>
    <w:rsid w:val="009A7DC5"/>
    <w:rsid w:val="009B19A8"/>
    <w:rsid w:val="009C7D78"/>
    <w:rsid w:val="009D4E47"/>
    <w:rsid w:val="009E4397"/>
    <w:rsid w:val="00A048B0"/>
    <w:rsid w:val="00A15B86"/>
    <w:rsid w:val="00A21F9F"/>
    <w:rsid w:val="00A23E92"/>
    <w:rsid w:val="00A368D7"/>
    <w:rsid w:val="00A54110"/>
    <w:rsid w:val="00A557E5"/>
    <w:rsid w:val="00A56A65"/>
    <w:rsid w:val="00A64475"/>
    <w:rsid w:val="00A71387"/>
    <w:rsid w:val="00A72C1D"/>
    <w:rsid w:val="00A75698"/>
    <w:rsid w:val="00A77941"/>
    <w:rsid w:val="00A85121"/>
    <w:rsid w:val="00A86753"/>
    <w:rsid w:val="00A90C3E"/>
    <w:rsid w:val="00A970EB"/>
    <w:rsid w:val="00AA3A62"/>
    <w:rsid w:val="00AA600A"/>
    <w:rsid w:val="00AA7275"/>
    <w:rsid w:val="00AB7976"/>
    <w:rsid w:val="00AC22C8"/>
    <w:rsid w:val="00AC4DAE"/>
    <w:rsid w:val="00AE1891"/>
    <w:rsid w:val="00AE30FB"/>
    <w:rsid w:val="00AE503C"/>
    <w:rsid w:val="00AE64D8"/>
    <w:rsid w:val="00AF573C"/>
    <w:rsid w:val="00B00B33"/>
    <w:rsid w:val="00B04FA5"/>
    <w:rsid w:val="00B0774D"/>
    <w:rsid w:val="00B100BE"/>
    <w:rsid w:val="00B16C9C"/>
    <w:rsid w:val="00B17C4D"/>
    <w:rsid w:val="00B23B58"/>
    <w:rsid w:val="00B335D7"/>
    <w:rsid w:val="00B54E9A"/>
    <w:rsid w:val="00B55BC1"/>
    <w:rsid w:val="00B82352"/>
    <w:rsid w:val="00B92210"/>
    <w:rsid w:val="00B9287E"/>
    <w:rsid w:val="00B9625E"/>
    <w:rsid w:val="00BA1EBB"/>
    <w:rsid w:val="00BB6A5F"/>
    <w:rsid w:val="00BC0BAF"/>
    <w:rsid w:val="00BE3D65"/>
    <w:rsid w:val="00BF40FE"/>
    <w:rsid w:val="00C011C1"/>
    <w:rsid w:val="00C02140"/>
    <w:rsid w:val="00C069FA"/>
    <w:rsid w:val="00C10EE6"/>
    <w:rsid w:val="00C175D0"/>
    <w:rsid w:val="00C22979"/>
    <w:rsid w:val="00C2334F"/>
    <w:rsid w:val="00C32AFC"/>
    <w:rsid w:val="00C4383B"/>
    <w:rsid w:val="00C4457D"/>
    <w:rsid w:val="00C46185"/>
    <w:rsid w:val="00C5473F"/>
    <w:rsid w:val="00C56C68"/>
    <w:rsid w:val="00C61379"/>
    <w:rsid w:val="00C61906"/>
    <w:rsid w:val="00C758B4"/>
    <w:rsid w:val="00C80C54"/>
    <w:rsid w:val="00C8286C"/>
    <w:rsid w:val="00C85BFA"/>
    <w:rsid w:val="00C877AB"/>
    <w:rsid w:val="00C92CCE"/>
    <w:rsid w:val="00C930E7"/>
    <w:rsid w:val="00C977E0"/>
    <w:rsid w:val="00CA6650"/>
    <w:rsid w:val="00CB386D"/>
    <w:rsid w:val="00CB52F0"/>
    <w:rsid w:val="00CC47B4"/>
    <w:rsid w:val="00CD2113"/>
    <w:rsid w:val="00CD5EAB"/>
    <w:rsid w:val="00CF16F4"/>
    <w:rsid w:val="00CF313A"/>
    <w:rsid w:val="00CF730D"/>
    <w:rsid w:val="00D016E5"/>
    <w:rsid w:val="00D021BB"/>
    <w:rsid w:val="00D03201"/>
    <w:rsid w:val="00D04D01"/>
    <w:rsid w:val="00D2048D"/>
    <w:rsid w:val="00D24176"/>
    <w:rsid w:val="00D27019"/>
    <w:rsid w:val="00D312D0"/>
    <w:rsid w:val="00D33900"/>
    <w:rsid w:val="00D362EF"/>
    <w:rsid w:val="00D41D14"/>
    <w:rsid w:val="00D42F15"/>
    <w:rsid w:val="00D43F63"/>
    <w:rsid w:val="00D569CF"/>
    <w:rsid w:val="00D63240"/>
    <w:rsid w:val="00D653A1"/>
    <w:rsid w:val="00D77098"/>
    <w:rsid w:val="00D776F6"/>
    <w:rsid w:val="00D77741"/>
    <w:rsid w:val="00D906F5"/>
    <w:rsid w:val="00DA40F1"/>
    <w:rsid w:val="00DA5EFE"/>
    <w:rsid w:val="00DB0B7C"/>
    <w:rsid w:val="00DB18D2"/>
    <w:rsid w:val="00DB403D"/>
    <w:rsid w:val="00DC2263"/>
    <w:rsid w:val="00DD5499"/>
    <w:rsid w:val="00DE072D"/>
    <w:rsid w:val="00DE718E"/>
    <w:rsid w:val="00DF7179"/>
    <w:rsid w:val="00E023EC"/>
    <w:rsid w:val="00E07EB4"/>
    <w:rsid w:val="00E129FC"/>
    <w:rsid w:val="00E153A1"/>
    <w:rsid w:val="00E153F9"/>
    <w:rsid w:val="00E16D32"/>
    <w:rsid w:val="00E30B56"/>
    <w:rsid w:val="00E36635"/>
    <w:rsid w:val="00E373F2"/>
    <w:rsid w:val="00E52E39"/>
    <w:rsid w:val="00E53D34"/>
    <w:rsid w:val="00E54423"/>
    <w:rsid w:val="00E55EBA"/>
    <w:rsid w:val="00E7151E"/>
    <w:rsid w:val="00E778EC"/>
    <w:rsid w:val="00E80983"/>
    <w:rsid w:val="00E97D26"/>
    <w:rsid w:val="00EA7691"/>
    <w:rsid w:val="00EB4339"/>
    <w:rsid w:val="00EB5C3F"/>
    <w:rsid w:val="00EC1717"/>
    <w:rsid w:val="00ED7596"/>
    <w:rsid w:val="00EF1F81"/>
    <w:rsid w:val="00EF2F62"/>
    <w:rsid w:val="00EF33C7"/>
    <w:rsid w:val="00F0006C"/>
    <w:rsid w:val="00F008E3"/>
    <w:rsid w:val="00F06FB3"/>
    <w:rsid w:val="00F15CA4"/>
    <w:rsid w:val="00F27270"/>
    <w:rsid w:val="00F34A61"/>
    <w:rsid w:val="00F37C84"/>
    <w:rsid w:val="00F40546"/>
    <w:rsid w:val="00F41AFA"/>
    <w:rsid w:val="00F45284"/>
    <w:rsid w:val="00F62E3A"/>
    <w:rsid w:val="00F656B5"/>
    <w:rsid w:val="00F66426"/>
    <w:rsid w:val="00F8701E"/>
    <w:rsid w:val="00F87B47"/>
    <w:rsid w:val="00F921A6"/>
    <w:rsid w:val="00FA15AD"/>
    <w:rsid w:val="00FA1BC5"/>
    <w:rsid w:val="00FA7EE0"/>
    <w:rsid w:val="00FB090B"/>
    <w:rsid w:val="00FB3AB6"/>
    <w:rsid w:val="00FB7581"/>
    <w:rsid w:val="00FC2A54"/>
    <w:rsid w:val="00FD688A"/>
    <w:rsid w:val="00FD7B71"/>
    <w:rsid w:val="00FF2545"/>
    <w:rsid w:val="00FF255E"/>
    <w:rsid w:val="00FF2599"/>
    <w:rsid w:val="00FF5C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86766"/>
  <w15:chartTrackingRefBased/>
  <w15:docId w15:val="{9323E273-2FCC-4E32-8FEC-AE154E3E7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3F63"/>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D43F63"/>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D43F63"/>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D43F63"/>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D43F63"/>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D43F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3F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3F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3F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3F63"/>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D43F63"/>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D43F63"/>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D43F63"/>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D43F63"/>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D43F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3F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3F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3F63"/>
    <w:rPr>
      <w:rFonts w:eastAsiaTheme="majorEastAsia" w:cstheme="majorBidi"/>
      <w:color w:val="272727" w:themeColor="text1" w:themeTint="D8"/>
    </w:rPr>
  </w:style>
  <w:style w:type="paragraph" w:styleId="Title">
    <w:name w:val="Title"/>
    <w:basedOn w:val="Normal"/>
    <w:next w:val="Normal"/>
    <w:link w:val="TitleChar"/>
    <w:uiPriority w:val="10"/>
    <w:qFormat/>
    <w:rsid w:val="00D43F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3F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3F6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3F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3F6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43F63"/>
    <w:rPr>
      <w:i/>
      <w:iCs/>
      <w:color w:val="404040" w:themeColor="text1" w:themeTint="BF"/>
    </w:rPr>
  </w:style>
  <w:style w:type="paragraph" w:styleId="ListParagraph">
    <w:name w:val="List Paragraph"/>
    <w:basedOn w:val="Normal"/>
    <w:uiPriority w:val="34"/>
    <w:qFormat/>
    <w:rsid w:val="00D43F63"/>
    <w:pPr>
      <w:ind w:left="720"/>
      <w:contextualSpacing/>
    </w:pPr>
  </w:style>
  <w:style w:type="character" w:styleId="IntenseEmphasis">
    <w:name w:val="Intense Emphasis"/>
    <w:basedOn w:val="DefaultParagraphFont"/>
    <w:uiPriority w:val="21"/>
    <w:qFormat/>
    <w:rsid w:val="00D43F63"/>
    <w:rPr>
      <w:i/>
      <w:iCs/>
      <w:color w:val="365F91" w:themeColor="accent1" w:themeShade="BF"/>
    </w:rPr>
  </w:style>
  <w:style w:type="paragraph" w:styleId="IntenseQuote">
    <w:name w:val="Intense Quote"/>
    <w:basedOn w:val="Normal"/>
    <w:next w:val="Normal"/>
    <w:link w:val="IntenseQuoteChar"/>
    <w:uiPriority w:val="30"/>
    <w:qFormat/>
    <w:rsid w:val="00D43F6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D43F63"/>
    <w:rPr>
      <w:i/>
      <w:iCs/>
      <w:color w:val="365F91" w:themeColor="accent1" w:themeShade="BF"/>
    </w:rPr>
  </w:style>
  <w:style w:type="character" w:styleId="IntenseReference">
    <w:name w:val="Intense Reference"/>
    <w:basedOn w:val="DefaultParagraphFont"/>
    <w:uiPriority w:val="32"/>
    <w:qFormat/>
    <w:rsid w:val="00D43F63"/>
    <w:rPr>
      <w:b/>
      <w:bCs/>
      <w:smallCaps/>
      <w:color w:val="365F91" w:themeColor="accent1" w:themeShade="BF"/>
      <w:spacing w:val="5"/>
    </w:rPr>
  </w:style>
  <w:style w:type="paragraph" w:styleId="FootnoteText">
    <w:name w:val="footnote text"/>
    <w:basedOn w:val="Normal"/>
    <w:link w:val="FootnoteTextChar"/>
    <w:uiPriority w:val="99"/>
    <w:semiHidden/>
    <w:unhideWhenUsed/>
    <w:rsid w:val="00DA40F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A40F1"/>
    <w:rPr>
      <w:sz w:val="20"/>
      <w:szCs w:val="20"/>
    </w:rPr>
  </w:style>
  <w:style w:type="character" w:styleId="FootnoteReference">
    <w:name w:val="footnote reference"/>
    <w:basedOn w:val="DefaultParagraphFont"/>
    <w:uiPriority w:val="99"/>
    <w:semiHidden/>
    <w:unhideWhenUsed/>
    <w:rsid w:val="00DA40F1"/>
    <w:rPr>
      <w:vertAlign w:val="superscript"/>
    </w:rPr>
  </w:style>
  <w:style w:type="character" w:styleId="Hyperlink">
    <w:name w:val="Hyperlink"/>
    <w:basedOn w:val="DefaultParagraphFont"/>
    <w:uiPriority w:val="99"/>
    <w:unhideWhenUsed/>
    <w:rsid w:val="00345B30"/>
    <w:rPr>
      <w:color w:val="0000FF" w:themeColor="hyperlink"/>
      <w:u w:val="single"/>
    </w:rPr>
  </w:style>
  <w:style w:type="character" w:styleId="UnresolvedMention">
    <w:name w:val="Unresolved Mention"/>
    <w:basedOn w:val="DefaultParagraphFont"/>
    <w:uiPriority w:val="99"/>
    <w:semiHidden/>
    <w:unhideWhenUsed/>
    <w:rsid w:val="00345B30"/>
    <w:rPr>
      <w:color w:val="605E5C"/>
      <w:shd w:val="clear" w:color="auto" w:fill="E1DFDD"/>
    </w:rPr>
  </w:style>
  <w:style w:type="character" w:styleId="FollowedHyperlink">
    <w:name w:val="FollowedHyperlink"/>
    <w:basedOn w:val="DefaultParagraphFont"/>
    <w:uiPriority w:val="99"/>
    <w:semiHidden/>
    <w:unhideWhenUsed/>
    <w:rsid w:val="000A70B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commuters.wordpress.com/wp-content/uploads/2025/05/rail-partners-gbr-policy-docs.zi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_rels/footnotes.xml.rels><?xml version="1.0" encoding="UTF-8" standalone="yes"?>
<Relationships xmlns="http://schemas.openxmlformats.org/package/2006/relationships"><Relationship Id="rId8" Type="http://schemas.openxmlformats.org/officeDocument/2006/relationships/hyperlink" Target="https://committees.parliament.uk/oralevidence/15261/pdf/" TargetMode="External"/><Relationship Id="rId13" Type="http://schemas.openxmlformats.org/officeDocument/2006/relationships/hyperlink" Target="https://www.railwaygazette.com/uk/rail-ticket-retailers-call-for-a-level-playing-field/68760.article" TargetMode="External"/><Relationship Id="rId18" Type="http://schemas.openxmlformats.org/officeDocument/2006/relationships/hyperlink" Target="https://independentrailretailers.co.uk/wp-content/uploads/2025/05/Independent-Rail-Retailers-Consultation-Response-.pdf" TargetMode="External"/><Relationship Id="rId3" Type="http://schemas.openxmlformats.org/officeDocument/2006/relationships/hyperlink" Target="https://committees.parliament.uk/committee/153/transport-committee/news/205773/dont-forget-about-disabled-people-in-rail-reforms-transport-committee-warns-minister/" TargetMode="External"/><Relationship Id="rId21" Type="http://schemas.openxmlformats.org/officeDocument/2006/relationships/hyperlink" Target="https://assets.publishing.service.gov.uk/media/67b30e36b56d8b0856c2fd49/a-railway-fit-for-britains-future.pdf" TargetMode="External"/><Relationship Id="rId7" Type="http://schemas.openxmlformats.org/officeDocument/2006/relationships/hyperlink" Target="https://archive.ph/rWgrc" TargetMode="External"/><Relationship Id="rId12" Type="http://schemas.openxmlformats.org/officeDocument/2006/relationships/hyperlink" Target="https://assets.publishing.service.gov.uk/media/65dcc007f1cab3001afc4732/plan-for-rail-legislative-changes-to-implement-rail-reform-consultation-outcome-web-version.pdf" TargetMode="External"/><Relationship Id="rId17" Type="http://schemas.openxmlformats.org/officeDocument/2006/relationships/hyperlink" Target="https://assets.publishing.service.gov.uk/media/6308bad28fa8f5536009bb5e/220903_Response_to_Williams_Shapps_Plan_for_Rail_-_legislative_changes_to_implement_rail_reform_pub.pdf" TargetMode="External"/><Relationship Id="rId25" Type="http://schemas.openxmlformats.org/officeDocument/2006/relationships/hyperlink" Target="https://assets.publishing.service.gov.uk/media/6308bad28fa8f5536009bb5e/220903_Response_to_Williams_Shapps_Plan_for_Rail_-_legislative_changes_to_implement_rail_reform_pub.pdf" TargetMode="External"/><Relationship Id="rId2" Type="http://schemas.openxmlformats.org/officeDocument/2006/relationships/hyperlink" Target="https://abcommuters.com/2025/02/24/dept-for-transport-drops-main-public-interest-duties-from-gbr-in-major-step-back-for-accessibility-and-environment/" TargetMode="External"/><Relationship Id="rId16" Type="http://schemas.openxmlformats.org/officeDocument/2006/relationships/hyperlink" Target="https://assets.publishing.service.gov.uk/media/6807743892d50839757a616a/CMA_response_to__A_railway_fit_for_Britain_s_future__consultation.pdf" TargetMode="External"/><Relationship Id="rId20" Type="http://schemas.openxmlformats.org/officeDocument/2006/relationships/hyperlink" Target="https://assets.publishing.service.gov.uk/media/62a7139d8fa8f503961732dd/williams-shapps-plan-for-rail-consultation-on-legislation-to-implement-rail-transformation-impact-assessments.pdf" TargetMode="External"/><Relationship Id="rId1" Type="http://schemas.openxmlformats.org/officeDocument/2006/relationships/hyperlink" Target="https://assets.publishing.service.gov.uk/media/67b30e36b56d8b0856c2fd49/a-railway-fit-for-britains-future.pdf" TargetMode="External"/><Relationship Id="rId6" Type="http://schemas.openxmlformats.org/officeDocument/2006/relationships/hyperlink" Target="https://abcommuters.wordpress.com/wp-content/uploads/2025/05/rail-partners-gbr-policy-docs.zip" TargetMode="External"/><Relationship Id="rId11" Type="http://schemas.openxmlformats.org/officeDocument/2006/relationships/hyperlink" Target="https://assets.publishing.service.gov.uk/media/6807743892d50839757a616a/CMA_response_to__A_railway_fit_for_Britain_s_future__consultation.pdf" TargetMode="External"/><Relationship Id="rId24" Type="http://schemas.openxmlformats.org/officeDocument/2006/relationships/hyperlink" Target="https://www.orr.gov.uk/sites/default/files/2022-07/2022-07-28-rail-review-consultation-response.pdf%20%20CMA%20response%20to%20rail%20reform%20consultation" TargetMode="External"/><Relationship Id="rId5" Type="http://schemas.openxmlformats.org/officeDocument/2006/relationships/hyperlink" Target="https://archive.is/sONwj" TargetMode="External"/><Relationship Id="rId15" Type="http://schemas.openxmlformats.org/officeDocument/2006/relationships/hyperlink" Target="https://independentrailretailers.co.uk/wp-content/uploads/2025/05/Independent-Rail-Retailers-Consultation-Response-.pdf" TargetMode="External"/><Relationship Id="rId23" Type="http://schemas.openxmlformats.org/officeDocument/2006/relationships/hyperlink" Target="https://assets.publishing.service.gov.uk/media/6807743892d50839757a616a/CMA_response_to__A_railway_fit_for_Britain_s_future__consultation.pdf" TargetMode="External"/><Relationship Id="rId10" Type="http://schemas.openxmlformats.org/officeDocument/2006/relationships/hyperlink" Target="https://assets.publishing.service.gov.uk/media/6308bad28fa8f5536009bb5e/220903_Response_to_Williams_Shapps_Plan_for_Rail_-_legislative_changes_to_implement_rail_reform_pub.pdf" TargetMode="External"/><Relationship Id="rId19" Type="http://schemas.openxmlformats.org/officeDocument/2006/relationships/hyperlink" Target="https://www.orr.gov.uk/media/23944" TargetMode="External"/><Relationship Id="rId4" Type="http://schemas.openxmlformats.org/officeDocument/2006/relationships/hyperlink" Target="https://committees.parliament.uk/committee/153/transport-committee/news/205876/access-denied-mps-call-for-overhaul-of-laws-strategy-and-attitudes-to-get-transport-working-for-disabled-people/" TargetMode="External"/><Relationship Id="rId9" Type="http://schemas.openxmlformats.org/officeDocument/2006/relationships/hyperlink" Target="https://www.orr.gov.uk/sites/default/files/2022-07/2022-07-28-rail-review-consultation-response.pdf%20%20CMA%20response%20to%20rail%20reform%20consultation" TargetMode="External"/><Relationship Id="rId14" Type="http://schemas.openxmlformats.org/officeDocument/2006/relationships/hyperlink" Target="https://www.cityam.com/trainline-to-take-on-labour-as-shares-lose-further-ground" TargetMode="External"/><Relationship Id="rId22" Type="http://schemas.openxmlformats.org/officeDocument/2006/relationships/hyperlink" Target="https://independentrailretailers.co.uk/wp-content/uploads/2025/05/Independent-Rail-Retailers-Consultation-Respons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A1081-94DF-4F67-9262-0369C2A82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5</Pages>
  <Words>1547</Words>
  <Characters>8822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Sullivan</dc:creator>
  <cp:keywords/>
  <dc:description/>
  <cp:lastModifiedBy>Emily Sullivan</cp:lastModifiedBy>
  <cp:revision>48</cp:revision>
  <dcterms:created xsi:type="dcterms:W3CDTF">2025-05-23T12:48:00Z</dcterms:created>
  <dcterms:modified xsi:type="dcterms:W3CDTF">2025-06-08T09:36:00Z</dcterms:modified>
</cp:coreProperties>
</file>